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2F4C6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河南万基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万基铝业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股份有限公司</w:t>
      </w:r>
    </w:p>
    <w:p w14:paraId="28D7F188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产能转移过渡期劳务外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包技术要求</w:t>
      </w:r>
    </w:p>
    <w:p w14:paraId="6714F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一、实施背景</w:t>
      </w:r>
    </w:p>
    <w:p w14:paraId="79843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为全力推进万基铝业（新疆）公司项目建设，按照公司整体战略部署，本部持续抽调大量生产骨干、技术人员及熟练操作人员支援新疆项目建设与投产筹备工作。人员大规模外调后，万基铝业电解车间现有在岗人员严重不足，岗位缺口较大。为确保过渡期生产组织平稳有序、现场环境达标、停运槽体清理整治工作按期保质完成，缓解人员紧缺压力，保障公司整体产能转移工作顺利推进，特报请集团公司同意，通过公开招标方式择优遴选具备相应资质、业绩及作业能力的第三方服务单位，承揽电解车间辅助性生产作业。</w:t>
      </w:r>
    </w:p>
    <w:p w14:paraId="28404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二、外包作业范围</w:t>
      </w:r>
    </w:p>
    <w:p w14:paraId="3B012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本次外包范围为万基铝业电解车间辅助性生产作业，具体包含六项作业内容：</w:t>
      </w:r>
    </w:p>
    <w:p w14:paraId="7A1A66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1.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新极收边保温料添加及收边区域卫生清理工作；</w:t>
      </w:r>
    </w:p>
    <w:p w14:paraId="2C1E2F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电解车间零米积料及通廊卫生清理工作；</w:t>
      </w:r>
    </w:p>
    <w:p w14:paraId="280F5F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3.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出铝抬包及包管清理工作；</w:t>
      </w:r>
    </w:p>
    <w:p w14:paraId="22DA8C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4.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停运电解槽白料清理装包工作；</w:t>
      </w:r>
    </w:p>
    <w:p w14:paraId="76F3AB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5.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停运电解槽槽上部及集气罩物料清理工作；</w:t>
      </w:r>
    </w:p>
    <w:p w14:paraId="015815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6.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停运电解槽内衬破碎、装包、清理及转运工作。</w:t>
      </w:r>
    </w:p>
    <w:p w14:paraId="4AC80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三、工作质量及验收标准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（以下各项工作量均可能根据生产实际发生变化，均以实结算）</w:t>
      </w:r>
    </w:p>
    <w:p w14:paraId="61AEF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（一）新极收边加保温料及卫生清理</w:t>
      </w:r>
    </w:p>
    <w:p w14:paraId="6AAA3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1.质量验收标准：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大料块扎碎，不超过拳头大小；角部极保温料厚度至钢梁露出5cm，中间极保温料厚度至钢梁下沿齐平，保温料整体平整，与后四天极间呈斜坡状；阳极外立面用料块完全覆盖，并以成品料覆盖平整；打壳附近阳极须先封堵中缝和内端头，严禁保温料堵死下料口；新极区域及对应槽上部护板卫生彻底清理，无积料、无杂物；对应风格版及母线积料清理干净。</w:t>
      </w:r>
    </w:p>
    <w:p w14:paraId="051AA216">
      <w:pPr>
        <w:adjustRightInd w:val="0"/>
        <w:ind w:firstLine="643" w:firstLineChars="200"/>
        <w:jc w:val="both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2.工作量预测：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在满产状态下，在满产状态下，一铝约146组/天，二铝约286组/天，共计约432组/天。</w:t>
      </w:r>
    </w:p>
    <w:p w14:paraId="62A19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（二）电解零米落料清理工作</w:t>
      </w:r>
    </w:p>
    <w:p w14:paraId="048F7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1.质量验收标准：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每10天由车间负责人统一检查验收一次。要求槽间无明显积料，零米大小面、通廊干净整洁，无垃圾、无杂物。</w:t>
      </w:r>
    </w:p>
    <w:p w14:paraId="68BF2DF3">
      <w:pPr>
        <w:adjustRightInd w:val="0"/>
        <w:ind w:firstLine="643" w:firstLineChars="200"/>
        <w:jc w:val="both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2.工作量预测：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一铝222台、二铝402台电解槽零米（含对应槽间），共计624台。</w:t>
      </w:r>
    </w:p>
    <w:p w14:paraId="4EC21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（三）出铝抬包及包管清理工作</w:t>
      </w:r>
    </w:p>
    <w:p w14:paraId="3D865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1.质量验收标准：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抬包内壁、底部清理见底，倒铝口畅通；抬包管内壁积料清理干净；清包产生废铝全部捡拾干净交付当班班长；抬包、包管定置摆放，作业区域整洁规范；清理过程中不得故意损坏抬包内衬。</w:t>
      </w:r>
    </w:p>
    <w:p w14:paraId="41A83B40">
      <w:pPr>
        <w:adjustRightInd w:val="0"/>
        <w:ind w:firstLine="643" w:firstLineChars="200"/>
        <w:jc w:val="both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2.工作量预测：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满产状态下，一铝每月需清理抬包约70台次。</w:t>
      </w:r>
    </w:p>
    <w:p w14:paraId="4A54B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（四）停运电解槽白料清理工作</w:t>
      </w:r>
    </w:p>
    <w:p w14:paraId="5CA73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1.质量验收标准：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槽膛白料全部破碎、清理、装包；垃圾杂物与白料严格分离、禁止混装；槽内废铝全部分拣出来交付对应工区，严禁混入白料；侧部清理至侧块位置，槽底清理至阴极表面，无明显残留白料。</w:t>
      </w:r>
    </w:p>
    <w:p w14:paraId="6D3022F2">
      <w:pPr>
        <w:adjustRightInd w:val="0"/>
        <w:ind w:firstLine="643" w:firstLineChars="200"/>
        <w:jc w:val="both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2.工作量预测：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一铝222台，二铝402台，共计624台。</w:t>
      </w:r>
    </w:p>
    <w:p w14:paraId="623DF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（五）停运电解槽槽上部及集气罩物料清理</w:t>
      </w:r>
    </w:p>
    <w:p w14:paraId="370F3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1.质量验收标准：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槽上部结构、集气罩内部积料清理彻底；所有物料归集、装包，回收利用。</w:t>
      </w:r>
    </w:p>
    <w:p w14:paraId="31EC2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2.工作量预测：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一铝222台，二铝402台，共计624台。</w:t>
      </w:r>
    </w:p>
    <w:p w14:paraId="1DB2D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（六）停运电解槽内衬破碎装包及转运工作</w:t>
      </w:r>
    </w:p>
    <w:p w14:paraId="233B0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1.质量验收标准：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槽内废铝、废钢棒全部分拣干净并移交甲方；内衬物料完全破碎、规范装包，包体完好无破损，破损包必须重新封装；所有物料全部转运至厂区指定地点；槽壳内部及作业区域卫生清理干净、无遗留废料。</w:t>
      </w:r>
    </w:p>
    <w:p w14:paraId="03F1D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2.工作量预测：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一铝222台，二铝402台，共计624台。</w:t>
      </w:r>
    </w:p>
    <w:p w14:paraId="2FB6A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四、验收办法</w:t>
      </w:r>
    </w:p>
    <w:p w14:paraId="5E2A2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新极收边加保温料及卫生清理工作。</w:t>
      </w:r>
      <w:r>
        <w:rPr>
          <w:rFonts w:hint="eastAsia" w:ascii="仿宋" w:hAnsi="仿宋" w:eastAsia="仿宋" w:cs="仿宋"/>
          <w:sz w:val="32"/>
          <w:szCs w:val="32"/>
        </w:rPr>
        <w:t>每组极作业完成后，须经当班作业长、班长、工区长共同验收，并在作业质量检查记录本上签字确认。验收不合格的，应如实注明原因，待承包方整改合格后重新验收签字，确保不合格项闭环处理。</w:t>
      </w:r>
    </w:p>
    <w:p w14:paraId="0A449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电解零米落料清理工作。</w:t>
      </w:r>
      <w:r>
        <w:rPr>
          <w:rFonts w:hint="eastAsia" w:ascii="仿宋" w:hAnsi="仿宋" w:eastAsia="仿宋" w:cs="仿宋"/>
          <w:sz w:val="32"/>
          <w:szCs w:val="32"/>
        </w:rPr>
        <w:t>每10天由所在工区长、车间负责人统一检查验收一次，验收结果记入检查记录并签字确认。</w:t>
      </w:r>
    </w:p>
    <w:p w14:paraId="2E6CF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出铝抬包及包管清理工作。</w:t>
      </w:r>
      <w:r>
        <w:rPr>
          <w:rFonts w:hint="eastAsia" w:ascii="仿宋" w:hAnsi="仿宋" w:eastAsia="仿宋" w:cs="仿宋"/>
          <w:sz w:val="32"/>
          <w:szCs w:val="32"/>
        </w:rPr>
        <w:t>由所在工区长、车间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检修班长</w:t>
      </w:r>
      <w:r>
        <w:rPr>
          <w:rFonts w:hint="eastAsia" w:ascii="仿宋" w:hAnsi="仿宋" w:eastAsia="仿宋" w:cs="仿宋"/>
          <w:sz w:val="32"/>
          <w:szCs w:val="32"/>
        </w:rPr>
        <w:t>检查验收并签字确认。</w:t>
      </w:r>
    </w:p>
    <w:p w14:paraId="10DE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停运电解槽白料清理工作。</w:t>
      </w:r>
      <w:r>
        <w:rPr>
          <w:rFonts w:hint="eastAsia" w:ascii="仿宋" w:hAnsi="仿宋" w:eastAsia="仿宋" w:cs="仿宋"/>
          <w:sz w:val="32"/>
          <w:szCs w:val="32"/>
        </w:rPr>
        <w:t>由所在工区长、车间检修负责人检查验收并签字确认。</w:t>
      </w:r>
    </w:p>
    <w:p w14:paraId="37A7D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停运电解槽槽上部及集气罩物料清理工作。</w:t>
      </w:r>
      <w:r>
        <w:rPr>
          <w:rFonts w:hint="eastAsia" w:ascii="仿宋" w:hAnsi="仿宋" w:eastAsia="仿宋" w:cs="仿宋"/>
          <w:sz w:val="32"/>
          <w:szCs w:val="32"/>
        </w:rPr>
        <w:t>由所在工区长、车间检修负责人检查验收并签字确认。</w:t>
      </w:r>
    </w:p>
    <w:p w14:paraId="75691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停运电解槽内衬破碎装包及转运工作。</w:t>
      </w:r>
      <w:r>
        <w:rPr>
          <w:rFonts w:hint="eastAsia" w:ascii="仿宋" w:hAnsi="仿宋" w:eastAsia="仿宋" w:cs="仿宋"/>
          <w:sz w:val="32"/>
          <w:szCs w:val="32"/>
        </w:rPr>
        <w:t>由所在工区长、车间检修负责人检查验收并签字确认。</w:t>
      </w:r>
    </w:p>
    <w:p w14:paraId="405CF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工作量汇总审核。</w:t>
      </w:r>
      <w:r>
        <w:rPr>
          <w:rFonts w:hint="eastAsia" w:ascii="仿宋" w:hAnsi="仿宋" w:eastAsia="仿宋" w:cs="仿宋"/>
          <w:sz w:val="32"/>
          <w:szCs w:val="32"/>
        </w:rPr>
        <w:t>每月25日，承揽单位将整理、汇总后的工作量统计表（经签字确认的纸质版）送甲方所在车间审核；甲方应按时审核、签字确认，并按公司规定按时上报。</w:t>
      </w:r>
    </w:p>
    <w:p w14:paraId="3BB85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不合格处理。</w:t>
      </w:r>
      <w:r>
        <w:rPr>
          <w:rFonts w:hint="eastAsia" w:ascii="仿宋" w:hAnsi="仿宋" w:eastAsia="仿宋" w:cs="仿宋"/>
          <w:sz w:val="32"/>
          <w:szCs w:val="32"/>
        </w:rPr>
        <w:t>验收结果表明工作质量不合格的，承揽单位应负责无偿整改，并承担由此给甲方造成的相关损失；验收不合格的工作量不予签字确认，不予结算。</w:t>
      </w:r>
    </w:p>
    <w:p w14:paraId="42F85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9.结算依据。</w:t>
      </w:r>
      <w:r>
        <w:rPr>
          <w:rFonts w:hint="eastAsia" w:ascii="仿宋" w:hAnsi="仿宋" w:eastAsia="仿宋" w:cs="仿宋"/>
          <w:sz w:val="32"/>
          <w:szCs w:val="32"/>
        </w:rPr>
        <w:t>为经甲方验收确认的</w:t>
      </w:r>
      <w:r>
        <w:rPr>
          <w:rFonts w:hint="default" w:ascii="仿宋" w:hAnsi="仿宋" w:eastAsia="仿宋" w:cs="仿宋"/>
          <w:sz w:val="32"/>
          <w:szCs w:val="32"/>
        </w:rPr>
        <w:t>工作量，与承包方投入的人员数量无关。</w:t>
      </w:r>
    </w:p>
    <w:p w14:paraId="0C9DC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五、劳务承揽单位准入条件</w:t>
      </w:r>
    </w:p>
    <w:p w14:paraId="364FB5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1.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具备独立法人资质，经营范围包含工业劳务、现场清理、生产辅助服务等相关内容，证照齐全、合法经营。</w:t>
      </w:r>
    </w:p>
    <w:p w14:paraId="1799FA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2.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具备铝行业电解车间同类清理、辅助作业经验，能够适应铝厂高温、粉尘、现场连续作业环境。</w:t>
      </w:r>
    </w:p>
    <w:p w14:paraId="5E3AF4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3.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具备稳定作业团队、自备作业工具及安全防护用品，能够满足现场每日、常态化及集中清理施工需求。</w:t>
      </w:r>
    </w:p>
    <w:p w14:paraId="09CDEBD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FF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4.具备与作业内容匹配的安全生产管理制度和专职安全管理人员。</w:t>
      </w:r>
    </w:p>
    <w:p w14:paraId="7D6AA5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left="0" w:leftChars="0" w:firstLine="640" w:firstLineChars="200"/>
        <w:textAlignment w:val="auto"/>
        <w:rPr>
          <w:rFonts w:hint="default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5.无安全事故、无失信记录，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接受甲方对作业成果的验收管理和现场安全监督。</w:t>
      </w:r>
    </w:p>
    <w:p w14:paraId="70FF3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六、劳务承揽单位职责</w:t>
      </w:r>
    </w:p>
    <w:p w14:paraId="604569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1.必须签订劳务合同、安全环保协议、防盗协议及担保函，缴纳履约保证金，并为劳务人员购置保险（不低于 100 万元的意外保险或工伤保险）、劳保用品等。 </w:t>
      </w:r>
    </w:p>
    <w:p w14:paraId="29D8CF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2.承包方现场负责人负责作业人员的日常管理、工作安排和指令传达。甲方仅就作业成果验收、现场安全监督等事项与承包方现场负责人对接，不直接介入承包方内部劳动管理。</w:t>
      </w:r>
    </w:p>
    <w:p w14:paraId="23BE75F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3.必须遵守合同约定的质量标准和安全规范等各项规章制度，接受甲方对</w:t>
      </w:r>
      <w: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作业成果的验收管理和现场安全监督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，满足生产需要，加强文明卫生管理，做好安全防护措施，杜绝违章作业。</w:t>
      </w:r>
    </w:p>
    <w:p w14:paraId="12355D5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4.必须安排劳务人员进行职业健康岗前检查，无职业禁忌症、身体健康者方可入场。 </w:t>
      </w:r>
    </w:p>
    <w:p w14:paraId="254DD13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5.对所有劳务人员进行登记造册（包括工人姓名、性别、民族、政治面貌、身份证号码、户口所在地、家庭住址、文化程度、工种、进场时间、联系电话等）。 </w:t>
      </w:r>
    </w:p>
    <w:p w14:paraId="13B5151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6.负责组织劳务人员进行相关培训（安全、技能等），并做好记录。 </w:t>
      </w:r>
    </w:p>
    <w:p w14:paraId="5A918CC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7.必须为劳务人员统一配发工作服（与业主单位职工有明显差异）、安全帽、护目镜、劳保鞋、反光背心、安全带、手套等劳动防护用品，并保证其在工作中规范穿戴。特种防护用品必须符合国家相关标准。</w:t>
      </w:r>
    </w:p>
    <w:p w14:paraId="5DAE50D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8.作业现场发生事故或险情时，承包方现场负责人应立即向甲乙双方负责人报告，并按照应急预案开展先期处置。承包方应配合甲方开展应急救援和事故调查。</w:t>
      </w:r>
    </w:p>
    <w:p w14:paraId="641C00E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9.不得将承揽的作业项目非法转包、分包。确需分包的，须经甲方书面同意，并对分包单位的安全生产条件进行审核。</w:t>
      </w:r>
    </w:p>
    <w:p w14:paraId="39CA18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FF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</w:p>
    <w:p w14:paraId="62C97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3840" w:firstLineChars="1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河南万基铝业股份有限公司</w:t>
      </w:r>
    </w:p>
    <w:p w14:paraId="246B3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6" w:lineRule="exact"/>
        <w:ind w:firstLine="4480" w:firstLineChars="14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2026年10月 18日</w:t>
      </w:r>
    </w:p>
    <w:p w14:paraId="4F1CB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A8CE3E-2A6C-46F2-A33B-EBF4AA0E7A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32C4ED1-7B36-4124-ACD8-61CA15D45B1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7C115AA-0717-404F-8A67-CDB56726137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621C577-944D-47ED-9836-49AE115C03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0151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ADBB3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ADBB3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32A0E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D7566"/>
    <w:rsid w:val="05DE1D42"/>
    <w:rsid w:val="16715408"/>
    <w:rsid w:val="174E7035"/>
    <w:rsid w:val="183D429E"/>
    <w:rsid w:val="1B1635EF"/>
    <w:rsid w:val="212154AC"/>
    <w:rsid w:val="257A162F"/>
    <w:rsid w:val="2AA95C02"/>
    <w:rsid w:val="2B6A413B"/>
    <w:rsid w:val="2C6A4DD6"/>
    <w:rsid w:val="2F55703D"/>
    <w:rsid w:val="35136D49"/>
    <w:rsid w:val="371766B4"/>
    <w:rsid w:val="372B4530"/>
    <w:rsid w:val="3A3A3F3F"/>
    <w:rsid w:val="3B733B74"/>
    <w:rsid w:val="3DE10046"/>
    <w:rsid w:val="4471375C"/>
    <w:rsid w:val="459B4F7E"/>
    <w:rsid w:val="471147D3"/>
    <w:rsid w:val="4723347D"/>
    <w:rsid w:val="48FD40B1"/>
    <w:rsid w:val="4A033F66"/>
    <w:rsid w:val="4E797E26"/>
    <w:rsid w:val="4F7B769C"/>
    <w:rsid w:val="50BC7E9D"/>
    <w:rsid w:val="50DE5AF3"/>
    <w:rsid w:val="52724F93"/>
    <w:rsid w:val="53A01547"/>
    <w:rsid w:val="54E449CE"/>
    <w:rsid w:val="57D63B21"/>
    <w:rsid w:val="58965B22"/>
    <w:rsid w:val="58E061E3"/>
    <w:rsid w:val="5AC54246"/>
    <w:rsid w:val="5CA81058"/>
    <w:rsid w:val="5F126AC0"/>
    <w:rsid w:val="67BA2595"/>
    <w:rsid w:val="6A681023"/>
    <w:rsid w:val="744228E5"/>
    <w:rsid w:val="761E48DD"/>
    <w:rsid w:val="77903E74"/>
    <w:rsid w:val="7B6E03E5"/>
    <w:rsid w:val="7E1B67CA"/>
    <w:rsid w:val="7E3621F3"/>
    <w:rsid w:val="7F80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rPr>
      <w:rFonts w:ascii="Calibri" w:hAnsi="Calibri" w:eastAsia="仿宋" w:cs="宋体"/>
      <w:sz w:val="32"/>
    </w:rPr>
  </w:style>
  <w:style w:type="paragraph" w:styleId="3">
    <w:name w:val="Body Text Indent"/>
    <w:basedOn w:val="1"/>
    <w:next w:val="2"/>
    <w:qFormat/>
    <w:uiPriority w:val="0"/>
    <w:pPr>
      <w:ind w:firstLine="0" w:firstLineChars="0"/>
      <w:jc w:val="center"/>
    </w:pPr>
    <w:rPr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2590</Words>
  <Characters>2674</Characters>
  <Lines>0</Lines>
  <Paragraphs>0</Paragraphs>
  <TotalTime>19</TotalTime>
  <ScaleCrop>false</ScaleCrop>
  <LinksUpToDate>false</LinksUpToDate>
  <CharactersWithSpaces>2681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2026-10-16T03:31:00Z</dcterms:created>
  <dc:creator>Administrator</dc:creator>
  <cp:lastModifiedBy>Detail</cp:lastModifiedBy>
  <dcterms:modified xsi:type="dcterms:W3CDTF">2026-10-21T00:31:07Z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eyJoZGlkIjoiYWJmNjI2MGIzNTAyMjRhMmY1YTJiNzZiYTRjYWZmMmQiLCJ1c2VySWQiOiI1Mzk1ODg4MDAifQ==</vt:lpwstr>
  </property>
  <property fmtid="{D5CDD505-2E9C-101B-9397-08002B2CF9AE}" pid="4" name="ICV">
    <vt:lpwstr>6B9D78DD696A4517A08F20BF683F6E60_13</vt:lpwstr>
  </property>
</Properties>
</file>