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3ADC65">
      <w:pPr>
        <w:widowControl w:val="0"/>
        <w:ind w:firstLine="880" w:firstLineChars="200"/>
        <w:jc w:val="center"/>
        <w:rPr>
          <w:rFonts w:ascii="方正小标宋简体" w:hAnsi="方正小标宋简体" w:eastAsia="方正小标宋简体" w:cs="方正小标宋简体"/>
          <w:color w:val="auto"/>
          <w:sz w:val="44"/>
          <w:szCs w:val="44"/>
          <w:highlight w:val="none"/>
        </w:rPr>
      </w:pPr>
      <w:r>
        <w:rPr>
          <w:rFonts w:hint="eastAsia" w:ascii="方正小标宋简体" w:hAnsi="方正小标宋简体" w:eastAsia="方正小标宋简体" w:cs="方正小标宋简体"/>
          <w:color w:val="auto"/>
          <w:sz w:val="44"/>
          <w:szCs w:val="44"/>
          <w:highlight w:val="none"/>
        </w:rPr>
        <w:t>内控顾问招标文件主要内容</w:t>
      </w:r>
    </w:p>
    <w:p w14:paraId="634F1898">
      <w:pPr>
        <w:pStyle w:val="6"/>
        <w:widowControl w:val="0"/>
        <w:spacing w:after="0"/>
        <w:ind w:left="0" w:leftChars="0" w:firstLine="640"/>
        <w:rPr>
          <w:rFonts w:ascii="仿宋_GB2312" w:hAnsi="仿宋_GB2312" w:eastAsia="仿宋_GB2312" w:cs="仿宋_GB2312"/>
          <w:color w:val="auto"/>
          <w:sz w:val="32"/>
          <w:szCs w:val="32"/>
          <w:highlight w:val="none"/>
        </w:rPr>
      </w:pPr>
    </w:p>
    <w:p w14:paraId="26E27660">
      <w:pPr>
        <w:widowControl w:val="0"/>
        <w:adjustRightInd w:val="0"/>
        <w:spacing w:line="520" w:lineRule="exact"/>
        <w:ind w:firstLine="643"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一、项目名称：</w:t>
      </w:r>
      <w:r>
        <w:rPr>
          <w:rFonts w:hint="eastAsia" w:ascii="仿宋_GB2312" w:hAnsi="仿宋_GB2312" w:eastAsia="仿宋_GB2312" w:cs="仿宋_GB2312"/>
          <w:color w:val="auto"/>
          <w:sz w:val="32"/>
          <w:szCs w:val="32"/>
          <w:highlight w:val="none"/>
        </w:rPr>
        <w:t>万基控股集团有限公司</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以下简称“万基集团”）</w:t>
      </w:r>
      <w:r>
        <w:rPr>
          <w:rFonts w:hint="eastAsia" w:ascii="仿宋_GB2312" w:hAnsi="仿宋_GB2312" w:eastAsia="仿宋_GB2312" w:cs="仿宋_GB2312"/>
          <w:color w:val="auto"/>
          <w:sz w:val="32"/>
          <w:szCs w:val="32"/>
          <w:highlight w:val="none"/>
        </w:rPr>
        <w:t>港股IPO内控顾问服务项目</w:t>
      </w:r>
    </w:p>
    <w:p w14:paraId="35AB7491">
      <w:pPr>
        <w:widowControl w:val="0"/>
        <w:adjustRightInd w:val="0"/>
        <w:spacing w:line="520" w:lineRule="exact"/>
        <w:ind w:firstLine="643" w:firstLineChars="200"/>
        <w:jc w:val="both"/>
        <w:rPr>
          <w:rFonts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二、采购内容：</w:t>
      </w:r>
      <w:r>
        <w:rPr>
          <w:rFonts w:hint="eastAsia" w:ascii="仿宋_GB2312" w:hAnsi="仿宋_GB2312" w:eastAsia="仿宋_GB2312" w:cs="仿宋_GB2312"/>
          <w:color w:val="auto"/>
          <w:sz w:val="32"/>
          <w:szCs w:val="32"/>
          <w:highlight w:val="none"/>
        </w:rPr>
        <w:t>根据香港联交所上市规则为万基</w:t>
      </w:r>
      <w:r>
        <w:rPr>
          <w:rFonts w:hint="eastAsia" w:ascii="仿宋_GB2312" w:hAnsi="仿宋_GB2312" w:eastAsia="仿宋_GB2312" w:cs="仿宋_GB2312"/>
          <w:color w:val="auto"/>
          <w:sz w:val="32"/>
          <w:szCs w:val="32"/>
          <w:highlight w:val="none"/>
          <w:lang w:val="en-US" w:eastAsia="zh-CN"/>
        </w:rPr>
        <w:t>集团</w:t>
      </w:r>
      <w:r>
        <w:rPr>
          <w:rFonts w:hint="eastAsia" w:ascii="仿宋_GB2312" w:hAnsi="仿宋_GB2312" w:eastAsia="仿宋_GB2312" w:cs="仿宋_GB2312"/>
          <w:color w:val="auto"/>
          <w:sz w:val="32"/>
          <w:szCs w:val="32"/>
          <w:highlight w:val="none"/>
        </w:rPr>
        <w:t>提供包括但不限于：全面审阅发行人内控体系，评估</w:t>
      </w:r>
      <w:r>
        <w:rPr>
          <w:rFonts w:hint="eastAsia" w:ascii="仿宋_GB2312" w:hAnsi="仿宋_GB2312" w:eastAsia="仿宋_GB2312" w:cs="仿宋_GB2312"/>
          <w:color w:val="auto"/>
          <w:sz w:val="32"/>
          <w:szCs w:val="32"/>
          <w:highlight w:val="none"/>
          <w:lang w:val="en-US" w:eastAsia="zh-CN"/>
        </w:rPr>
        <w:t>发行人</w:t>
      </w:r>
      <w:r>
        <w:rPr>
          <w:rFonts w:hint="eastAsia" w:ascii="仿宋_GB2312" w:hAnsi="仿宋_GB2312" w:eastAsia="仿宋_GB2312" w:cs="仿宋_GB2312"/>
          <w:color w:val="auto"/>
          <w:sz w:val="32"/>
          <w:szCs w:val="32"/>
          <w:highlight w:val="none"/>
        </w:rPr>
        <w:t>内控有效性，识别缺陷并提出整改建议，跟进整改落实；出具符合上市规则及发行人及保荐人合理要求的内控审阅报告及内控核查结论，协助保荐人及承销商完成PN21的相关要求；以及内控顾问在类似交易上惯常应履行的其他责任。</w:t>
      </w:r>
    </w:p>
    <w:p w14:paraId="09435A94">
      <w:pPr>
        <w:widowControl w:val="0"/>
        <w:adjustRightInd w:val="0"/>
        <w:spacing w:line="520" w:lineRule="exact"/>
        <w:ind w:firstLine="643"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rPr>
        <w:t>三、</w:t>
      </w:r>
      <w:r>
        <w:rPr>
          <w:rFonts w:hint="eastAsia" w:ascii="仿宋_GB2312" w:hAnsi="仿宋_GB2312" w:eastAsia="仿宋_GB2312" w:cs="仿宋_GB2312"/>
          <w:b/>
          <w:bCs/>
          <w:color w:val="auto"/>
          <w:sz w:val="32"/>
          <w:szCs w:val="32"/>
          <w:highlight w:val="none"/>
          <w:lang w:val="en-US" w:eastAsia="zh-CN"/>
        </w:rPr>
        <w:t>招标控制价：</w:t>
      </w:r>
      <w:r>
        <w:rPr>
          <w:rFonts w:hint="eastAsia" w:ascii="仿宋_GB2312" w:hAnsi="仿宋_GB2312" w:eastAsia="仿宋_GB2312" w:cs="仿宋_GB2312"/>
          <w:color w:val="auto"/>
          <w:sz w:val="32"/>
          <w:szCs w:val="32"/>
          <w:highlight w:val="none"/>
          <w:lang w:val="en-US" w:eastAsia="zh-CN"/>
        </w:rPr>
        <w:t>本次招标采用总价包干报价方式，最高投标限价人民币50万元。上述费用为含税价，税率遵照国家规定，且包含差旅费、招待费等杂费，投标报价不得超出本控制价上限，否则视为无效投标。</w:t>
      </w:r>
    </w:p>
    <w:p w14:paraId="3953F10A">
      <w:pPr>
        <w:widowControl w:val="0"/>
        <w:adjustRightInd w:val="0"/>
        <w:spacing w:line="520" w:lineRule="exact"/>
        <w:ind w:firstLine="643" w:firstLineChars="200"/>
        <w:jc w:val="both"/>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四、招标方式：</w:t>
      </w:r>
      <w:r>
        <w:rPr>
          <w:rFonts w:hint="eastAsia" w:ascii="仿宋_GB2312" w:hAnsi="仿宋_GB2312" w:eastAsia="仿宋_GB2312" w:cs="仿宋_GB2312"/>
          <w:b w:val="0"/>
          <w:bCs w:val="0"/>
          <w:color w:val="auto"/>
          <w:sz w:val="32"/>
          <w:szCs w:val="40"/>
          <w:lang w:val="en-US" w:eastAsia="zh-CN"/>
        </w:rPr>
        <w:t>以询比价的方式采购。</w:t>
      </w:r>
    </w:p>
    <w:p w14:paraId="282381AB">
      <w:pPr>
        <w:widowControl w:val="0"/>
        <w:adjustRightInd w:val="0"/>
        <w:spacing w:line="520" w:lineRule="exact"/>
        <w:ind w:firstLine="640" w:firstLineChars="200"/>
        <w:jc w:val="both"/>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按照《招标采购管理制度》第十四条，符合下列情形之一的，采用竞争性谈判或询比价、议价等方式采购：4 技术复杂或性质特殊，不能确定详细规格、价格总额或具体要求的，如文物普探、水土保持、服务咨询类等购买服务项目。建议本次招标采用询比价的方式采购。</w:t>
      </w:r>
    </w:p>
    <w:p w14:paraId="057E0E49">
      <w:pPr>
        <w:widowControl w:val="0"/>
        <w:adjustRightInd w:val="0"/>
        <w:spacing w:line="520" w:lineRule="exact"/>
        <w:ind w:firstLine="643"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五、</w:t>
      </w:r>
      <w:r>
        <w:rPr>
          <w:rFonts w:hint="eastAsia" w:ascii="仿宋_GB2312" w:hAnsi="仿宋_GB2312" w:eastAsia="仿宋_GB2312" w:cs="仿宋_GB2312"/>
          <w:b/>
          <w:bCs/>
          <w:color w:val="auto"/>
          <w:sz w:val="32"/>
          <w:szCs w:val="32"/>
          <w:highlight w:val="none"/>
        </w:rPr>
        <w:t>服务范围：</w:t>
      </w:r>
    </w:p>
    <w:p w14:paraId="0DC72318">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内控顾问的工作范围包括但不限于以下内容：</w:t>
      </w:r>
    </w:p>
    <w:p w14:paraId="50BFCA3E">
      <w:pPr>
        <w:widowControl w:val="0"/>
        <w:adjustRightInd w:val="0"/>
        <w:spacing w:line="520" w:lineRule="exact"/>
        <w:ind w:firstLine="643"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（一）内部控制现状调查及诊断</w:t>
      </w:r>
    </w:p>
    <w:p w14:paraId="6750031C">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1.结合香港联交所上市规则</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保荐人要求</w:t>
      </w:r>
      <w:r>
        <w:rPr>
          <w:rFonts w:hint="eastAsia" w:ascii="仿宋_GB2312" w:hAnsi="仿宋_GB2312" w:eastAsia="仿宋_GB2312" w:cs="仿宋_GB2312"/>
          <w:color w:val="auto"/>
          <w:sz w:val="32"/>
          <w:szCs w:val="32"/>
          <w:highlight w:val="none"/>
        </w:rPr>
        <w:t>及企业经营实际，对万基集团上市范围内各公司现有内部控制体系开展全面梳理，覆盖财务核算、业务运营、风险管理等各核心领域；</w:t>
      </w:r>
    </w:p>
    <w:p w14:paraId="3FC10739">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2.通过资料调阅、人员访谈、流程穿行测试</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控制测试</w:t>
      </w:r>
      <w:r>
        <w:rPr>
          <w:rFonts w:hint="eastAsia" w:ascii="仿宋_GB2312" w:hAnsi="仿宋_GB2312" w:eastAsia="仿宋_GB2312" w:cs="仿宋_GB2312"/>
          <w:color w:val="auto"/>
          <w:sz w:val="32"/>
          <w:szCs w:val="32"/>
          <w:highlight w:val="none"/>
        </w:rPr>
        <w:t>等方式，定位现有内控体系存在的设计缺陷与运行缺陷，形成内部控制现状诊断报告。</w:t>
      </w:r>
    </w:p>
    <w:p w14:paraId="22BCE46B">
      <w:pPr>
        <w:widowControl w:val="0"/>
        <w:adjustRightInd w:val="0"/>
        <w:spacing w:line="520" w:lineRule="exact"/>
        <w:ind w:firstLine="643"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（二）内部控制体系建设及完善</w:t>
      </w:r>
    </w:p>
    <w:p w14:paraId="68E9DAC9">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1.针对诊断发现的内控缺陷，结合香港联交所对港股IPO企业的内控要求，提供可落地的内控体系优化建议；</w:t>
      </w:r>
    </w:p>
    <w:p w14:paraId="5ABA1288">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2.协助万基集团整改，包括但不限于协助提出制度修订建议、手册修订建议、</w:t>
      </w:r>
      <w:r>
        <w:rPr>
          <w:rFonts w:hint="eastAsia" w:ascii="Calibri" w:hAnsi="Calibri" w:eastAsia="仿宋_GB2312" w:cs="Calibri"/>
          <w:color w:val="auto"/>
          <w:sz w:val="32"/>
          <w:szCs w:val="32"/>
          <w:highlight w:val="none"/>
        </w:rPr>
        <w:t>流程完善建议等</w:t>
      </w:r>
      <w:r>
        <w:rPr>
          <w:rFonts w:hint="eastAsia" w:ascii="仿宋_GB2312" w:hAnsi="仿宋_GB2312" w:eastAsia="仿宋_GB2312" w:cs="仿宋_GB2312"/>
          <w:color w:val="auto"/>
          <w:sz w:val="32"/>
          <w:szCs w:val="32"/>
          <w:highlight w:val="none"/>
        </w:rPr>
        <w:t>，</w:t>
      </w:r>
      <w:r>
        <w:rPr>
          <w:rFonts w:hint="eastAsia" w:ascii="Calibri" w:hAnsi="Calibri" w:eastAsia="仿宋_GB2312" w:cs="Calibri"/>
          <w:color w:val="auto"/>
          <w:sz w:val="32"/>
          <w:szCs w:val="32"/>
          <w:highlight w:val="none"/>
        </w:rPr>
        <w:t>协助公司完善</w:t>
      </w:r>
      <w:r>
        <w:rPr>
          <w:rFonts w:hint="eastAsia" w:ascii="仿宋_GB2312" w:hAnsi="仿宋_GB2312" w:eastAsia="仿宋_GB2312" w:cs="仿宋_GB2312"/>
          <w:color w:val="auto"/>
          <w:sz w:val="32"/>
          <w:szCs w:val="32"/>
          <w:highlight w:val="none"/>
        </w:rPr>
        <w:t>内控体系符合上市监管要求与企业自身发展需求。</w:t>
      </w:r>
    </w:p>
    <w:p w14:paraId="55C934B3">
      <w:pPr>
        <w:widowControl w:val="0"/>
        <w:adjustRightInd w:val="0"/>
        <w:spacing w:line="520" w:lineRule="exact"/>
        <w:ind w:firstLine="643"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（三）内控整改辅导</w:t>
      </w:r>
    </w:p>
    <w:p w14:paraId="7A97C005">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1.全程指导万基集团落实内控整改工作，及时解答整改过程中遇到的各类专业问题；</w:t>
      </w:r>
    </w:p>
    <w:p w14:paraId="56BB9122">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2.跟踪整改进度，对整改结果进行复核，针对整改不到位的内容进一步调整优化整改建议；</w:t>
      </w:r>
    </w:p>
    <w:p w14:paraId="612E3907">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3.对关键整改事项提供专项辅导，整改措施要考虑符合公司在实际业务中能得到有效执行。</w:t>
      </w:r>
    </w:p>
    <w:p w14:paraId="4D53915A">
      <w:pPr>
        <w:widowControl w:val="0"/>
        <w:adjustRightInd w:val="0"/>
        <w:spacing w:line="520" w:lineRule="exact"/>
        <w:ind w:firstLine="643"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（四）内部控制回访测试</w:t>
      </w:r>
    </w:p>
    <w:p w14:paraId="7DED3DC6">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1.按照香港联交所上市规则及行业通用标准，对优化后的内部控制体系开展独立测试，审阅内控运行情况；</w:t>
      </w:r>
    </w:p>
    <w:p w14:paraId="2C2D4175">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2.对测试发现的问题形成整改意见，并协助公司完成整改；</w:t>
      </w:r>
    </w:p>
    <w:p w14:paraId="7C462A06">
      <w:pPr>
        <w:widowControl w:val="0"/>
        <w:adjustRightInd w:val="0"/>
        <w:spacing w:line="520" w:lineRule="exact"/>
        <w:ind w:firstLine="640" w:firstLineChars="200"/>
        <w:rPr>
          <w:rFonts w:ascii="Calibri" w:hAnsi="Calibri" w:eastAsia="仿宋_GB2312" w:cs="Calibri"/>
          <w:color w:val="auto"/>
          <w:sz w:val="32"/>
          <w:szCs w:val="32"/>
          <w:highlight w:val="none"/>
        </w:rPr>
      </w:pPr>
      <w:r>
        <w:rPr>
          <w:rFonts w:hint="eastAsia" w:ascii="仿宋_GB2312" w:hAnsi="仿宋_GB2312" w:eastAsia="仿宋_GB2312" w:cs="仿宋_GB2312"/>
          <w:color w:val="auto"/>
          <w:sz w:val="32"/>
          <w:szCs w:val="32"/>
          <w:highlight w:val="none"/>
        </w:rPr>
        <w:t>3.结合整改情况出具内控回访报告；</w:t>
      </w:r>
    </w:p>
    <w:p w14:paraId="11C307AF">
      <w:pPr>
        <w:widowControl w:val="0"/>
        <w:adjustRightInd w:val="0"/>
        <w:spacing w:line="520" w:lineRule="exact"/>
        <w:ind w:firstLine="643"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（五）配合港股IPO上市相关工作</w:t>
      </w:r>
    </w:p>
    <w:p w14:paraId="1CA86CF8">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1.根据香港联交所、相关监管机构及公司港股IPO项目中介机构的要求，就内部控制相关事项提供专业意见；</w:t>
      </w:r>
    </w:p>
    <w:p w14:paraId="467EA9D9">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2.配合保荐人、审计师、境内外律师及其他中介机构开展与内部控制相关的尽职调查、核查及访谈工作；</w:t>
      </w:r>
    </w:p>
    <w:p w14:paraId="0A2E7FBE">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3.根据项目需要，协助公司回复与内部控制相关的监管问询及中介机构提出的问题；</w:t>
      </w:r>
    </w:p>
    <w:p w14:paraId="11C96803">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4.配合公司及相关中介机构完成上市申报文件中涉及内部控制相关内容的核查及完善工作；</w:t>
      </w:r>
    </w:p>
    <w:p w14:paraId="4E35948C">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5.根据港股IPO项目实际进展，提供其他与内部控制相关的专业咨询及辅导服务。</w:t>
      </w:r>
    </w:p>
    <w:p w14:paraId="0A3F3DC3">
      <w:pPr>
        <w:widowControl w:val="0"/>
        <w:adjustRightInd w:val="0"/>
        <w:spacing w:line="520" w:lineRule="exact"/>
        <w:ind w:firstLine="643"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（六）内控顾问应提交以下书面成果</w:t>
      </w:r>
      <w:r>
        <w:rPr>
          <w:rFonts w:hint="eastAsia" w:ascii="仿宋_GB2312" w:hAnsi="仿宋_GB2312" w:eastAsia="仿宋_GB2312" w:cs="仿宋_GB2312"/>
          <w:color w:val="auto"/>
          <w:sz w:val="32"/>
          <w:szCs w:val="32"/>
          <w:highlight w:val="none"/>
        </w:rPr>
        <w:t>（包括但不限于）：（1）PN21内控审阅报告（根据要求提供符合香港会计师公会AATB1有关要求的长式报告）；（2）项目工作计划，明确目标、范围、阶段、时间、分工、交付节点等事项；（3）访谈计划、提纲、资料需求清单；（4）问题发现及改进建议清单，详细记录审阅范围内发现的内部控制缺陷及顾问的整改建议；（5）内控整改回访报告，详细报告整改工作的实际完成情况；</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6）整改样本审阅，对整改后控制程序进行抽样测试</w:t>
      </w:r>
      <w:bookmarkStart w:id="0" w:name="_GoBack"/>
      <w:bookmarkEnd w:id="0"/>
      <w:r>
        <w:rPr>
          <w:rFonts w:hint="eastAsia" w:ascii="仿宋_GB2312" w:hAnsi="仿宋_GB2312" w:eastAsia="仿宋_GB2312" w:cs="仿宋_GB2312"/>
          <w:color w:val="auto"/>
          <w:sz w:val="32"/>
          <w:szCs w:val="32"/>
          <w:highlight w:val="none"/>
          <w:lang w:val="en-US" w:eastAsia="zh-CN"/>
        </w:rPr>
        <w:t>，记录测试过程、结果；</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）监管问询支持。</w:t>
      </w:r>
    </w:p>
    <w:p w14:paraId="538F1D05">
      <w:pPr>
        <w:widowControl w:val="0"/>
        <w:adjustRightInd w:val="0"/>
        <w:spacing w:line="520" w:lineRule="exact"/>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六</w:t>
      </w:r>
      <w:r>
        <w:rPr>
          <w:rFonts w:hint="eastAsia" w:ascii="仿宋_GB2312" w:hAnsi="仿宋_GB2312" w:eastAsia="仿宋_GB2312" w:cs="仿宋_GB2312"/>
          <w:b/>
          <w:bCs/>
          <w:color w:val="auto"/>
          <w:sz w:val="32"/>
          <w:szCs w:val="32"/>
          <w:highlight w:val="none"/>
        </w:rPr>
        <w:t>、服务期限：</w:t>
      </w:r>
      <w:r>
        <w:rPr>
          <w:rFonts w:hint="eastAsia" w:ascii="仿宋_GB2312" w:hAnsi="仿宋_GB2312" w:eastAsia="仿宋_GB2312" w:cs="仿宋_GB2312"/>
          <w:color w:val="auto"/>
          <w:sz w:val="32"/>
          <w:szCs w:val="32"/>
          <w:highlight w:val="none"/>
        </w:rPr>
        <w:t>自合同签订生效之日起，至采购人港股IPO上市工作全部结束之日后3个月止。</w:t>
      </w:r>
    </w:p>
    <w:p w14:paraId="055D38B8">
      <w:pPr>
        <w:widowControl w:val="0"/>
        <w:adjustRightInd w:val="0"/>
        <w:spacing w:line="520" w:lineRule="exact"/>
        <w:ind w:firstLine="643" w:firstLineChars="200"/>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七、合同签订：</w:t>
      </w:r>
      <w:r>
        <w:rPr>
          <w:rFonts w:ascii="仿宋_GB2312" w:hAnsi="仿宋_GB2312" w:eastAsia="仿宋_GB2312" w:cs="仿宋_GB2312"/>
          <w:b w:val="0"/>
          <w:bCs w:val="0"/>
          <w:i w:val="0"/>
          <w:iCs w:val="0"/>
          <w:caps w:val="0"/>
          <w:color w:val="auto"/>
          <w:spacing w:val="0"/>
          <w:sz w:val="32"/>
          <w:szCs w:val="32"/>
          <w:highlight w:val="none"/>
          <w:shd w:val="clear"/>
        </w:rPr>
        <w:t>根据</w:t>
      </w:r>
      <w:r>
        <w:rPr>
          <w:rFonts w:hint="default" w:ascii="仿宋_GB2312" w:hAnsi="仿宋_GB2312" w:eastAsia="仿宋_GB2312" w:cs="仿宋_GB2312"/>
          <w:b w:val="0"/>
          <w:bCs w:val="0"/>
          <w:i w:val="0"/>
          <w:iCs w:val="0"/>
          <w:caps w:val="0"/>
          <w:color w:val="auto"/>
          <w:spacing w:val="0"/>
          <w:sz w:val="32"/>
          <w:szCs w:val="32"/>
          <w:highlight w:val="none"/>
          <w:shd w:val="clear"/>
          <w:lang w:val="en-US" w:eastAsia="zh-CN"/>
        </w:rPr>
        <w:t>行业惯例</w:t>
      </w:r>
      <w:r>
        <w:rPr>
          <w:rFonts w:ascii="仿宋_GB2312" w:hAnsi="仿宋_GB2312" w:eastAsia="仿宋_GB2312" w:cs="仿宋_GB2312"/>
          <w:b w:val="0"/>
          <w:bCs w:val="0"/>
          <w:i w:val="0"/>
          <w:iCs w:val="0"/>
          <w:caps w:val="0"/>
          <w:color w:val="auto"/>
          <w:spacing w:val="0"/>
          <w:sz w:val="32"/>
          <w:szCs w:val="32"/>
          <w:highlight w:val="none"/>
          <w:shd w:val="clear"/>
        </w:rPr>
        <w:t>，内控顾问</w:t>
      </w: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合同</w:t>
      </w:r>
      <w:r>
        <w:rPr>
          <w:rFonts w:ascii="仿宋_GB2312" w:hAnsi="仿宋_GB2312" w:eastAsia="仿宋_GB2312" w:cs="仿宋_GB2312"/>
          <w:b w:val="0"/>
          <w:bCs w:val="0"/>
          <w:i w:val="0"/>
          <w:iCs w:val="0"/>
          <w:caps w:val="0"/>
          <w:color w:val="auto"/>
          <w:spacing w:val="0"/>
          <w:sz w:val="32"/>
          <w:szCs w:val="32"/>
          <w:highlight w:val="none"/>
          <w:shd w:val="clear"/>
        </w:rPr>
        <w:t>采取三方签署方式，由公司、保荐人及内控顾问共同签订，以明确各方职责边界、服务范围、协同机制及保密义务，确保内控顾问委聘工作合规、有序推进。</w:t>
      </w:r>
    </w:p>
    <w:p w14:paraId="3403FABF">
      <w:pPr>
        <w:widowControl w:val="0"/>
        <w:adjustRightInd w:val="0"/>
        <w:spacing w:line="520" w:lineRule="exact"/>
        <w:ind w:firstLine="643"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八</w:t>
      </w:r>
      <w:r>
        <w:rPr>
          <w:rFonts w:hint="eastAsia" w:ascii="仿宋_GB2312" w:hAnsi="仿宋_GB2312" w:eastAsia="仿宋_GB2312" w:cs="仿宋_GB2312"/>
          <w:b/>
          <w:bCs/>
          <w:color w:val="auto"/>
          <w:sz w:val="32"/>
          <w:szCs w:val="32"/>
          <w:highlight w:val="none"/>
        </w:rPr>
        <w:t>、付款方式</w:t>
      </w:r>
    </w:p>
    <w:p w14:paraId="3A6F834E">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1.内控顾问出具符合香港会计师公会AATB1有关要求的长报告形式书面报告（PN21报告），支付合同金额的40%；</w:t>
      </w:r>
    </w:p>
    <w:p w14:paraId="27021F17">
      <w:pPr>
        <w:widowControl w:val="0"/>
        <w:adjustRightInd w:val="0"/>
        <w:spacing w:line="520" w:lineRule="exact"/>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snapToGrid/>
          <w:color w:val="auto"/>
          <w:kern w:val="0"/>
          <w:sz w:val="32"/>
          <w:szCs w:val="32"/>
          <w:highlight w:val="none"/>
        </w:rPr>
        <w:t>对标上市规则和监管要求，</w:t>
      </w:r>
      <w:r>
        <w:rPr>
          <w:rFonts w:hint="eastAsia" w:ascii="仿宋_GB2312" w:hAnsi="仿宋_GB2312" w:eastAsia="仿宋_GB2312" w:cs="仿宋_GB2312"/>
          <w:color w:val="auto"/>
          <w:sz w:val="32"/>
          <w:szCs w:val="32"/>
          <w:highlight w:val="none"/>
        </w:rPr>
        <w:t>对整改后的控制程序进行审阅，出具内控整改回访报告，支付合同金额的</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0%；</w:t>
      </w:r>
    </w:p>
    <w:p w14:paraId="1F607DD7">
      <w:pPr>
        <w:widowControl w:val="0"/>
        <w:adjustRightInd w:val="0"/>
        <w:spacing w:line="520" w:lineRule="exact"/>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3.向</w:t>
      </w:r>
      <w:r>
        <w:rPr>
          <w:rFonts w:hint="eastAsia" w:ascii="仿宋_GB2312" w:hAnsi="仿宋_GB2312" w:eastAsia="仿宋_GB2312" w:cs="仿宋_GB2312"/>
          <w:color w:val="auto"/>
          <w:spacing w:val="0"/>
          <w:kern w:val="0"/>
          <w:position w:val="0"/>
          <w:sz w:val="32"/>
          <w:szCs w:val="32"/>
          <w:highlight w:val="none"/>
          <w:lang w:val="en-US" w:eastAsia="zh-CN" w:bidi="ar"/>
        </w:rPr>
        <w:t>联交所递交A1表格后一个月内</w:t>
      </w:r>
      <w:r>
        <w:rPr>
          <w:rFonts w:hint="eastAsia" w:ascii="仿宋_GB2312" w:hAnsi="仿宋_GB2312" w:eastAsia="仿宋_GB2312" w:cs="仿宋_GB2312"/>
          <w:color w:val="auto"/>
          <w:sz w:val="32"/>
          <w:szCs w:val="32"/>
          <w:highlight w:val="none"/>
          <w:lang w:val="en-US" w:eastAsia="zh-CN"/>
        </w:rPr>
        <w:t>，支付合同金额的10%。</w:t>
      </w:r>
    </w:p>
    <w:p w14:paraId="3A2741DB">
      <w:pPr>
        <w:widowControl w:val="0"/>
        <w:adjustRightInd w:val="0"/>
        <w:spacing w:line="520" w:lineRule="exact"/>
        <w:ind w:firstLine="640" w:firstLineChars="20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注：①中标方不能因资金未按时支付而停止服务；②投标企业应能开具相应税率的增值税专用发票，税率执行现行税法规定，结算价款随国家税率政策变动而调整。③各阶段付款前，中标方应提交对应成果文件及合规发票，经采购人审核确认后按内部流程支付。</w:t>
      </w:r>
    </w:p>
    <w:p w14:paraId="25C7B42F">
      <w:pPr>
        <w:widowControl w:val="0"/>
        <w:adjustRightInd w:val="0"/>
        <w:spacing w:line="520" w:lineRule="exact"/>
        <w:ind w:firstLine="643" w:firstLineChars="200"/>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九</w:t>
      </w:r>
      <w:r>
        <w:rPr>
          <w:rFonts w:hint="eastAsia" w:ascii="仿宋_GB2312" w:hAnsi="仿宋_GB2312" w:eastAsia="仿宋_GB2312" w:cs="仿宋_GB2312"/>
          <w:b/>
          <w:bCs/>
          <w:color w:val="auto"/>
          <w:sz w:val="32"/>
          <w:szCs w:val="32"/>
          <w:highlight w:val="none"/>
        </w:rPr>
        <w:t>、资格要求</w:t>
      </w:r>
    </w:p>
    <w:p w14:paraId="38A21FAB">
      <w:pPr>
        <w:pStyle w:val="6"/>
        <w:widowControl w:val="0"/>
        <w:spacing w:after="0" w:line="520" w:lineRule="exact"/>
        <w:ind w:left="0" w:leftChars="0" w:firstLine="64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参选单位应当具备独立承担民事责任的能力，并满足以下条件：</w:t>
      </w:r>
    </w:p>
    <w:p w14:paraId="30C67202">
      <w:pPr>
        <w:pStyle w:val="6"/>
        <w:widowControl w:val="0"/>
        <w:spacing w:after="0" w:line="520" w:lineRule="exact"/>
        <w:ind w:left="0" w:leftChars="0" w:firstLine="64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1.依法设立并有效存续，具有独立法人资格，具备开展本项目所需的专业服务能力；</w:t>
      </w:r>
    </w:p>
    <w:p w14:paraId="2CA703FE">
      <w:pPr>
        <w:pStyle w:val="6"/>
        <w:widowControl w:val="0"/>
        <w:spacing w:after="0" w:line="520" w:lineRule="exact"/>
        <w:ind w:left="0" w:leftChars="0" w:firstLine="64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2.具有良好的商业信誉和健全的财务会计制度，近三年在经营活动中无重大违法违规记录；</w:t>
      </w:r>
    </w:p>
    <w:p w14:paraId="20A190A8">
      <w:pPr>
        <w:pStyle w:val="6"/>
        <w:widowControl w:val="0"/>
        <w:spacing w:after="0" w:line="520" w:lineRule="exact"/>
        <w:ind w:left="0" w:leftChars="0" w:firstLine="64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3.具有较为丰富的境内外资本市场、香港上市或港股IPO项目内部控制咨询服务经验，熟悉香港联交所及相关监管机构对上市发行人内部控制及规范治理的有关要求；</w:t>
      </w:r>
    </w:p>
    <w:p w14:paraId="6206BB5F">
      <w:pPr>
        <w:pStyle w:val="6"/>
        <w:widowControl w:val="0"/>
        <w:spacing w:after="0" w:line="520" w:lineRule="exact"/>
        <w:ind w:left="0" w:leftChars="0" w:firstLine="64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4.具有与本项目服务内容相匹配的专业服务团队，项目负责人及核心团队成员应具有丰富的内控咨询、风险管理、境内外上市项目服务经验的项目经验；</w:t>
      </w:r>
    </w:p>
    <w:p w14:paraId="1F026945">
      <w:pPr>
        <w:pStyle w:val="6"/>
        <w:widowControl w:val="0"/>
        <w:spacing w:after="0" w:line="520" w:lineRule="exact"/>
        <w:ind w:left="0" w:leftChars="0" w:firstLine="64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5.近三年具有港股IPO、境内外上市或其他具有代表性的上市项目内控顾问服务业绩，并能够提供有效的业绩证明材料；</w:t>
      </w:r>
    </w:p>
    <w:p w14:paraId="7EE44AFA">
      <w:pPr>
        <w:pStyle w:val="6"/>
        <w:widowControl w:val="0"/>
        <w:spacing w:after="0" w:line="520" w:lineRule="exact"/>
        <w:ind w:left="0" w:leftChars="0" w:firstLine="64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6.熟悉企业内部控制、风险管理、财务管理及公司治理等相关领域，能够结合公司实际情况提供具有针对性和可操作性的解决方案；</w:t>
      </w:r>
    </w:p>
    <w:p w14:paraId="12D5A16F">
      <w:pPr>
        <w:pStyle w:val="6"/>
        <w:widowControl w:val="0"/>
        <w:spacing w:after="0" w:line="520" w:lineRule="exact"/>
        <w:ind w:left="0" w:leftChars="0" w:firstLine="64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7.未被列入“信用中国”失信被执行人、重大税收违法失信主体等失信主体名单，未被列入“中国政府采购网”政府采购严重违法失信行为记录名单；</w:t>
      </w:r>
    </w:p>
    <w:p w14:paraId="5E3320C5">
      <w:pPr>
        <w:pStyle w:val="6"/>
        <w:widowControl w:val="0"/>
        <w:spacing w:after="0" w:line="520" w:lineRule="exact"/>
        <w:ind w:left="0" w:leftChars="0" w:firstLine="64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rPr>
        <w:t>.本项目不接受联合体参选，不允许转包或违法分包；</w:t>
      </w:r>
    </w:p>
    <w:p w14:paraId="2CFEBA55">
      <w:pPr>
        <w:pStyle w:val="6"/>
        <w:widowControl w:val="0"/>
        <w:spacing w:after="0" w:line="520" w:lineRule="exact"/>
        <w:ind w:left="0" w:leftChars="0" w:firstLine="64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rPr>
        <w:t>.不存在其他有可能影响到公司提供上市服务的行为。</w:t>
      </w:r>
    </w:p>
    <w:p w14:paraId="1C2AA305">
      <w:pPr>
        <w:pStyle w:val="6"/>
        <w:widowControl w:val="0"/>
        <w:spacing w:after="0" w:line="520" w:lineRule="exact"/>
        <w:ind w:left="0" w:leftChars="0" w:firstLine="640"/>
        <w:rPr>
          <w:color w:val="auto"/>
          <w:highlight w:val="none"/>
        </w:rPr>
      </w:pPr>
      <w:r>
        <w:rPr>
          <w:rFonts w:hint="eastAsia" w:ascii="仿宋_GB2312" w:hAnsi="仿宋_GB2312" w:eastAsia="仿宋_GB2312" w:cs="仿宋_GB2312"/>
          <w:color w:val="auto"/>
          <w:sz w:val="32"/>
          <w:szCs w:val="32"/>
          <w:highlight w:val="none"/>
        </w:rPr>
        <w:t>1</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.法律、行政法规规定的其他条件。</w:t>
      </w:r>
    </w:p>
    <w:p w14:paraId="067F96F6">
      <w:pPr>
        <w:pStyle w:val="6"/>
        <w:widowControl w:val="0"/>
        <w:spacing w:after="0" w:line="520" w:lineRule="exact"/>
        <w:ind w:left="0" w:leftChars="0" w:firstLine="643"/>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十</w:t>
      </w:r>
      <w:r>
        <w:rPr>
          <w:rFonts w:hint="eastAsia" w:ascii="仿宋_GB2312" w:hAnsi="仿宋_GB2312" w:eastAsia="仿宋_GB2312" w:cs="仿宋_GB2312"/>
          <w:b/>
          <w:bCs/>
          <w:color w:val="auto"/>
          <w:sz w:val="32"/>
          <w:szCs w:val="32"/>
          <w:highlight w:val="none"/>
        </w:rPr>
        <w:t>、人员要求</w:t>
      </w:r>
    </w:p>
    <w:p w14:paraId="6979737E">
      <w:pPr>
        <w:pStyle w:val="6"/>
        <w:widowControl w:val="0"/>
        <w:spacing w:after="0" w:line="520" w:lineRule="exact"/>
        <w:ind w:left="0" w:leftChars="0" w:firstLine="64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工作团队包括但不限于：</w:t>
      </w:r>
    </w:p>
    <w:p w14:paraId="6D9F1C77">
      <w:pPr>
        <w:pStyle w:val="6"/>
        <w:widowControl w:val="0"/>
        <w:spacing w:after="0" w:line="520" w:lineRule="exact"/>
        <w:ind w:left="0" w:leftChars="0" w:firstLine="64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1.项目执行团队人数3人及以上；</w:t>
      </w:r>
    </w:p>
    <w:p w14:paraId="1E208170">
      <w:pPr>
        <w:pStyle w:val="6"/>
        <w:widowControl w:val="0"/>
        <w:spacing w:after="0" w:line="520" w:lineRule="exact"/>
        <w:ind w:left="0" w:leftChars="0" w:firstLine="64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2.项目执行团队负责人需有10年以上国企上市内控从业经验，</w:t>
      </w:r>
      <w:r>
        <w:rPr>
          <w:rFonts w:eastAsia="仿宋"/>
          <w:color w:val="auto"/>
          <w:sz w:val="32"/>
          <w:szCs w:val="32"/>
          <w:highlight w:val="none"/>
        </w:rPr>
        <w:t>且</w:t>
      </w:r>
      <w:r>
        <w:rPr>
          <w:rFonts w:hint="eastAsia" w:eastAsia="仿宋"/>
          <w:color w:val="auto"/>
          <w:sz w:val="32"/>
          <w:szCs w:val="32"/>
          <w:highlight w:val="none"/>
        </w:rPr>
        <w:t>近5年担任过3个以上IPO成功上市内控项目负责人</w:t>
      </w:r>
      <w:r>
        <w:rPr>
          <w:rFonts w:hint="eastAsia" w:ascii="仿宋_GB2312" w:hAnsi="仿宋_GB2312" w:eastAsia="仿宋_GB2312" w:cs="仿宋_GB2312"/>
          <w:color w:val="auto"/>
          <w:sz w:val="32"/>
          <w:szCs w:val="32"/>
          <w:highlight w:val="none"/>
        </w:rPr>
        <w:t>；</w:t>
      </w:r>
    </w:p>
    <w:p w14:paraId="5C3EF84B">
      <w:pPr>
        <w:pStyle w:val="6"/>
        <w:widowControl w:val="0"/>
        <w:spacing w:after="0" w:line="520" w:lineRule="exact"/>
        <w:ind w:left="0" w:leftChars="0" w:firstLine="64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3.项目组成员均参与过上市</w:t>
      </w:r>
      <w:r>
        <w:rPr>
          <w:rFonts w:hint="eastAsia" w:ascii="仿宋_GB2312" w:hAnsi="仿宋_GB2312" w:eastAsia="仿宋_GB2312" w:cs="仿宋_GB2312"/>
          <w:color w:val="auto"/>
          <w:sz w:val="32"/>
          <w:szCs w:val="32"/>
          <w:highlight w:val="none"/>
          <w:lang w:val="en-US" w:eastAsia="zh-CN"/>
        </w:rPr>
        <w:t>内控</w:t>
      </w:r>
      <w:r>
        <w:rPr>
          <w:rFonts w:hint="eastAsia" w:ascii="仿宋_GB2312" w:hAnsi="仿宋_GB2312" w:eastAsia="仿宋_GB2312" w:cs="仿宋_GB2312"/>
          <w:color w:val="auto"/>
          <w:sz w:val="32"/>
          <w:szCs w:val="32"/>
          <w:highlight w:val="none"/>
        </w:rPr>
        <w:t>项目，且有3年的从业经验；</w:t>
      </w:r>
    </w:p>
    <w:p w14:paraId="3FF5215C">
      <w:pPr>
        <w:pStyle w:val="6"/>
        <w:widowControl w:val="0"/>
        <w:spacing w:after="0" w:line="520" w:lineRule="exact"/>
        <w:ind w:left="0" w:leftChars="0" w:firstLine="64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4.项目成员应确保每天24小时畅通的联系方式，以随时解决工作中的突发问题。</w:t>
      </w:r>
    </w:p>
    <w:p w14:paraId="0BC7A5CF">
      <w:pPr>
        <w:pStyle w:val="6"/>
        <w:widowControl w:val="0"/>
        <w:spacing w:after="0" w:line="520" w:lineRule="exact"/>
        <w:ind w:left="0" w:leftChars="0" w:firstLine="643"/>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十一</w:t>
      </w:r>
      <w:r>
        <w:rPr>
          <w:rFonts w:hint="eastAsia" w:ascii="仿宋_GB2312" w:hAnsi="仿宋_GB2312" w:eastAsia="仿宋_GB2312" w:cs="仿宋_GB2312"/>
          <w:b/>
          <w:bCs/>
          <w:color w:val="auto"/>
          <w:sz w:val="32"/>
          <w:szCs w:val="32"/>
          <w:highlight w:val="none"/>
        </w:rPr>
        <w:t>、服务要求</w:t>
      </w:r>
    </w:p>
    <w:p w14:paraId="251FCB6A">
      <w:pPr>
        <w:pStyle w:val="6"/>
        <w:widowControl w:val="0"/>
        <w:spacing w:after="0" w:line="520" w:lineRule="exact"/>
        <w:ind w:left="0" w:leftChars="0" w:firstLine="640"/>
        <w:rPr>
          <w:rFonts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就提供的上市服务做出明确的服务承诺，包括但不限于：严格遵守香港联交所及相关监管机构的法律法规与监管要求，确保项目合规运作；按照约定的工作时间表与服务内容高效推进项目，如因</w:t>
      </w:r>
      <w:r>
        <w:rPr>
          <w:rFonts w:hint="eastAsia" w:ascii="仿宋_GB2312" w:hAnsi="仿宋_GB2312" w:eastAsia="仿宋_GB2312" w:cs="仿宋_GB2312"/>
          <w:color w:val="auto"/>
          <w:sz w:val="32"/>
          <w:szCs w:val="32"/>
          <w:highlight w:val="none"/>
          <w:lang w:val="en-US" w:eastAsia="zh-CN"/>
        </w:rPr>
        <w:t>投标人</w:t>
      </w:r>
      <w:r>
        <w:rPr>
          <w:rFonts w:hint="eastAsia" w:ascii="仿宋_GB2312" w:hAnsi="仿宋_GB2312" w:eastAsia="仿宋_GB2312" w:cs="仿宋_GB2312"/>
          <w:color w:val="auto"/>
          <w:sz w:val="32"/>
          <w:szCs w:val="32"/>
          <w:highlight w:val="none"/>
        </w:rPr>
        <w:t>原因导致项目延误或失败的，应承担相应的违约责任；对在项目执行过程中获取的商业秘密与敏感信息严格保密，未经万基集团书面同意，不得向任何第三方泄露；项目团队核心成员应保持稳定，如需更换，需提前征得万基集团同意，并确保更换后的成员资质与能力不低于原成员水平；建立完善的沟通机制，定期向万基集团汇报项目进展情况，及时响应万基集团的需求与问题，确保双方信息沟通顺畅。</w:t>
      </w:r>
    </w:p>
    <w:sectPr>
      <w:pgSz w:w="11906" w:h="16838"/>
      <w:pgMar w:top="1417" w:right="1587" w:bottom="1304" w:left="158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DDE36DEA-A122-4562-A2CA-3B7C390FC625}"/>
  </w:font>
  <w:font w:name="方正小标宋简体">
    <w:panose1 w:val="02000000000000000000"/>
    <w:charset w:val="86"/>
    <w:family w:val="auto"/>
    <w:pitch w:val="default"/>
    <w:sig w:usb0="00000001" w:usb1="08000000" w:usb2="00000000" w:usb3="00000000" w:csb0="00040000" w:csb1="00000000"/>
    <w:embedRegular r:id="rId2" w:fontKey="{2A3EA95E-7529-42BC-8570-2C4278522369}"/>
  </w:font>
  <w:font w:name="仿宋_GB2312">
    <w:panose1 w:val="02010609030101010101"/>
    <w:charset w:val="86"/>
    <w:family w:val="auto"/>
    <w:pitch w:val="default"/>
    <w:sig w:usb0="00000001" w:usb1="080E0000" w:usb2="00000000" w:usb3="00000000" w:csb0="00040000" w:csb1="00000000"/>
    <w:embedRegular r:id="rId3" w:fontKey="{83DDF398-BD56-49AA-A766-FAD5B36D2D4B}"/>
  </w:font>
  <w:font w:name="仿宋">
    <w:panose1 w:val="02010609060101010101"/>
    <w:charset w:val="86"/>
    <w:family w:val="modern"/>
    <w:pitch w:val="default"/>
    <w:sig w:usb0="800002BF" w:usb1="38CF7CFA" w:usb2="00000016" w:usb3="00000000" w:csb0="00040001" w:csb1="00000000"/>
    <w:embedRegular r:id="rId4" w:fontKey="{58B0C754-F73C-47B9-89CD-2101E9C8638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425E"/>
    <w:rsid w:val="000358AB"/>
    <w:rsid w:val="000453CC"/>
    <w:rsid w:val="00404711"/>
    <w:rsid w:val="00447CFD"/>
    <w:rsid w:val="00784404"/>
    <w:rsid w:val="007A4270"/>
    <w:rsid w:val="00871399"/>
    <w:rsid w:val="008A3A0B"/>
    <w:rsid w:val="008D7ACC"/>
    <w:rsid w:val="00945A00"/>
    <w:rsid w:val="00953629"/>
    <w:rsid w:val="00CE425E"/>
    <w:rsid w:val="043A0E0F"/>
    <w:rsid w:val="06056845"/>
    <w:rsid w:val="0AD171F0"/>
    <w:rsid w:val="13BF30EA"/>
    <w:rsid w:val="172D07F6"/>
    <w:rsid w:val="18E722AD"/>
    <w:rsid w:val="19404A56"/>
    <w:rsid w:val="1E677304"/>
    <w:rsid w:val="21DA658D"/>
    <w:rsid w:val="274D48D2"/>
    <w:rsid w:val="27920D11"/>
    <w:rsid w:val="2D514530"/>
    <w:rsid w:val="2FB526F4"/>
    <w:rsid w:val="2FFA0EC4"/>
    <w:rsid w:val="380628FF"/>
    <w:rsid w:val="391E5C96"/>
    <w:rsid w:val="422B40FE"/>
    <w:rsid w:val="44AC76F1"/>
    <w:rsid w:val="455A141A"/>
    <w:rsid w:val="458A253D"/>
    <w:rsid w:val="46421869"/>
    <w:rsid w:val="47A87A8E"/>
    <w:rsid w:val="47DB2035"/>
    <w:rsid w:val="49317B68"/>
    <w:rsid w:val="4DA05220"/>
    <w:rsid w:val="50A15C09"/>
    <w:rsid w:val="52B47566"/>
    <w:rsid w:val="54E6560C"/>
    <w:rsid w:val="5AE468D4"/>
    <w:rsid w:val="5B1603C3"/>
    <w:rsid w:val="5EC3562F"/>
    <w:rsid w:val="612A0399"/>
    <w:rsid w:val="6807205D"/>
    <w:rsid w:val="698F5DB9"/>
    <w:rsid w:val="730163D3"/>
    <w:rsid w:val="75947522"/>
    <w:rsid w:val="7BDE79F7"/>
    <w:rsid w:val="7D4551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cs="Times New Roman" w:asciiTheme="minorHAnsi" w:hAnsiTheme="minorHAnsi" w:eastAsiaTheme="minorEastAsia"/>
      <w:sz w:val="24"/>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style>
  <w:style w:type="paragraph" w:styleId="3">
    <w:name w:val="Body Text Indent"/>
    <w:basedOn w:val="1"/>
    <w:qFormat/>
    <w:uiPriority w:val="0"/>
    <w:pPr>
      <w:spacing w:after="120"/>
      <w:ind w:left="420" w:leftChars="200"/>
    </w:pPr>
  </w:style>
  <w:style w:type="paragraph" w:styleId="4">
    <w:name w:val="footer"/>
    <w:basedOn w:val="1"/>
    <w:qFormat/>
    <w:uiPriority w:val="0"/>
    <w:pPr>
      <w:tabs>
        <w:tab w:val="center" w:pos="4153"/>
        <w:tab w:val="right" w:pos="8306"/>
      </w:tabs>
      <w:snapToGrid w:val="0"/>
    </w:pPr>
    <w:rPr>
      <w:sz w:val="18"/>
    </w:rPr>
  </w:style>
  <w:style w:type="paragraph" w:styleId="5">
    <w:name w:val="header"/>
    <w:basedOn w:val="1"/>
    <w:link w:val="10"/>
    <w:qFormat/>
    <w:uiPriority w:val="0"/>
    <w:pPr>
      <w:tabs>
        <w:tab w:val="center" w:pos="4153"/>
        <w:tab w:val="right" w:pos="8306"/>
      </w:tabs>
      <w:snapToGrid w:val="0"/>
      <w:jc w:val="center"/>
    </w:pPr>
    <w:rPr>
      <w:sz w:val="18"/>
      <w:szCs w:val="18"/>
    </w:rPr>
  </w:style>
  <w:style w:type="paragraph" w:styleId="6">
    <w:name w:val="Body Text First Indent 2"/>
    <w:basedOn w:val="3"/>
    <w:unhideWhenUsed/>
    <w:qFormat/>
    <w:uiPriority w:val="0"/>
    <w:pPr>
      <w:ind w:firstLine="420" w:firstLineChars="200"/>
    </w:pPr>
    <w:rPr>
      <w:rFonts w:ascii="Times New Roman" w:hAnsi="Times New Roman"/>
    </w:rPr>
  </w:style>
  <w:style w:type="paragraph" w:styleId="9">
    <w:name w:val="List Paragraph"/>
    <w:basedOn w:val="1"/>
    <w:qFormat/>
    <w:uiPriority w:val="99"/>
    <w:pPr>
      <w:ind w:firstLine="420" w:firstLineChars="200"/>
    </w:pPr>
    <w:rPr>
      <w:szCs w:val="22"/>
    </w:rPr>
  </w:style>
  <w:style w:type="character" w:customStyle="1" w:styleId="10">
    <w:name w:val="Header Char"/>
    <w:basedOn w:val="8"/>
    <w:link w:val="5"/>
    <w:qFormat/>
    <w:uiPriority w:val="0"/>
    <w:rPr>
      <w:rFonts w:asciiTheme="minorHAnsi" w:hAnsiTheme="minorHAnsi" w:eastAsiaTheme="minorEastAsia"/>
      <w:sz w:val="18"/>
      <w:szCs w:val="18"/>
    </w:rPr>
  </w:style>
  <w:style w:type="paragraph" w:customStyle="1" w:styleId="11">
    <w:name w:val="Revision"/>
    <w:hidden/>
    <w:unhideWhenUsed/>
    <w:qFormat/>
    <w:uiPriority w:val="99"/>
    <w:rPr>
      <w:rFonts w:cs="Times New Roman" w:asciiTheme="minorHAnsi" w:hAnsiTheme="minorHAnsi" w:eastAsiaTheme="minorEastAsia"/>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c4954019-28af-41dd-99e5-30a8d2325645</errorID>
      <errorWord>长式</errorWord>
      <group>L1_Word</group>
      <groupName>字词问题</groupName>
      <ability>L2_Typo</ability>
      <abilityName>字词错误</abilityName>
      <candidateList>
        <item>正式</item>
      </candidateList>
      <explain/>
      <paraID> A3F3DC3</paraID>
      <start>64</start>
      <end>66</end>
      <status>ignored</status>
      <modifiedWord/>
      <trackRevisions>false</trackRevisions>
    </reviewItem>
  </reviewItems>
  <config/>
</contractReview>
</file>

<file path=customXml/itemProps1.xml><?xml version="1.0" encoding="utf-8"?>
<ds:datastoreItem xmlns:ds="http://schemas.openxmlformats.org/officeDocument/2006/customXml" ds:itemID="{1954310f-186e-4341-9bb8-2855c5e5589e}">
  <ds:schemaRefs/>
</ds:datastoreItem>
</file>

<file path=docProps/app.xml><?xml version="1.0" encoding="utf-8"?>
<Properties xmlns="http://schemas.openxmlformats.org/officeDocument/2006/extended-properties" xmlns:vt="http://schemas.openxmlformats.org/officeDocument/2006/docPropsVTypes">
  <Template>Normal.dotm</Template>
  <Company>KPMG</Company>
  <Pages>5</Pages>
  <Words>2557</Words>
  <Characters>2635</Characters>
  <Lines>20</Lines>
  <Paragraphs>5</Paragraphs>
  <TotalTime>8</TotalTime>
  <ScaleCrop>false</ScaleCrop>
  <LinksUpToDate>false</LinksUpToDate>
  <CharactersWithSpaces>2635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2026-09-04T09:39:00Z</dcterms:created>
  <dc:creator>wjssz</dc:creator>
  <cp:lastModifiedBy>媛</cp:lastModifiedBy>
  <dcterms:modified xsi:type="dcterms:W3CDTF">2026-09-28T03:36:23Z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eyJoZGlkIjoiMGMzNmY0Y2ExYjFlYjlhM2JlM2YzNjJmODIxYzM2MTYiLCJ1c2VySWQiOiI1MzA0MzY5MDAifQ==</vt:lpwstr>
  </property>
  <property fmtid="{D5CDD505-2E9C-101B-9397-08002B2CF9AE}" pid="4" name="ICV">
    <vt:lpwstr>2FCD763F14A94183B285EB573CE12A41_13</vt:lpwstr>
  </property>
</Properties>
</file>