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2B7D2">
      <w:pPr>
        <w:spacing w:line="560" w:lineRule="exact"/>
        <w:ind w:firstLine="723" w:firstLineChars="200"/>
        <w:jc w:val="center"/>
        <w:outlineLvl w:val="1"/>
        <w:rPr>
          <w:rFonts w:hint="eastAsia" w:cs="宋体" w:asciiTheme="minorEastAsia" w:hAnsiTheme="minorEastAsia" w:eastAsiaTheme="minorEastAsia"/>
          <w:b/>
          <w:bCs/>
          <w:sz w:val="36"/>
          <w:szCs w:val="36"/>
          <w:lang w:val="en-US" w:eastAsia="zh-CN"/>
        </w:rPr>
      </w:pPr>
      <w:r>
        <w:rPr>
          <w:rFonts w:hint="eastAsia" w:cs="宋体" w:asciiTheme="minorEastAsia" w:hAnsiTheme="minorEastAsia" w:eastAsiaTheme="minorEastAsia"/>
          <w:b/>
          <w:bCs/>
          <w:sz w:val="36"/>
          <w:szCs w:val="36"/>
          <w:lang w:val="en-US" w:eastAsia="zh-CN"/>
        </w:rPr>
        <w:t>河南万基铝业股份有限公司（一分厂）</w:t>
      </w:r>
    </w:p>
    <w:p w14:paraId="38F5BA78">
      <w:pPr>
        <w:spacing w:line="560" w:lineRule="exact"/>
        <w:ind w:firstLine="723" w:firstLineChars="200"/>
        <w:jc w:val="center"/>
        <w:outlineLvl w:val="1"/>
        <w:rPr>
          <w:rFonts w:hint="default" w:cs="宋体" w:asciiTheme="minorEastAsia" w:hAnsiTheme="minorEastAsia" w:eastAsiaTheme="minorEastAsia"/>
          <w:b/>
          <w:bCs/>
          <w:sz w:val="36"/>
          <w:szCs w:val="36"/>
          <w:lang w:val="en-US" w:eastAsia="zh-CN"/>
        </w:rPr>
      </w:pPr>
      <w:r>
        <w:rPr>
          <w:rFonts w:hint="default" w:cs="宋体" w:asciiTheme="minorEastAsia" w:hAnsiTheme="minorEastAsia" w:eastAsiaTheme="minorEastAsia"/>
          <w:b/>
          <w:bCs/>
          <w:sz w:val="36"/>
          <w:szCs w:val="36"/>
          <w:lang w:val="en-US" w:eastAsia="zh-CN"/>
        </w:rPr>
        <w:t>关于烟气断面设置合理性评估项目技术要求</w:t>
      </w:r>
    </w:p>
    <w:p w14:paraId="73B6B706">
      <w:pPr>
        <w:spacing w:line="560" w:lineRule="exact"/>
        <w:ind w:firstLine="480" w:firstLineChars="200"/>
        <w:jc w:val="left"/>
        <w:outlineLvl w:val="1"/>
        <w:rPr>
          <w:rFonts w:hint="eastAsia" w:cs="宋体" w:asciiTheme="minorEastAsia" w:hAnsiTheme="minorEastAsia" w:eastAsiaTheme="minorEastAsia"/>
          <w:bCs/>
          <w:sz w:val="24"/>
        </w:rPr>
      </w:pPr>
      <w:bookmarkStart w:id="0" w:name="OLE_LINK3"/>
      <w:bookmarkStart w:id="1" w:name="OLE_LINK4"/>
    </w:p>
    <w:p w14:paraId="28B6A236">
      <w:pPr>
        <w:spacing w:line="560" w:lineRule="exact"/>
        <w:jc w:val="left"/>
        <w:outlineLvl w:val="1"/>
        <w:rPr>
          <w:rFonts w:hint="eastAsia" w:cs="宋体" w:asciiTheme="minorEastAsia" w:hAnsiTheme="minorEastAsia" w:eastAsiaTheme="minorEastAsia"/>
          <w:b/>
          <w:bCs w:val="0"/>
          <w:sz w:val="24"/>
        </w:rPr>
      </w:pPr>
      <w:r>
        <w:rPr>
          <w:rFonts w:hint="eastAsia" w:cs="宋体" w:asciiTheme="minorEastAsia" w:hAnsiTheme="minorEastAsia" w:eastAsiaTheme="minorEastAsia"/>
          <w:b/>
          <w:bCs w:val="0"/>
          <w:sz w:val="24"/>
          <w:lang w:val="en-US" w:eastAsia="zh-CN"/>
        </w:rPr>
        <w:t>一、</w:t>
      </w:r>
      <w:r>
        <w:rPr>
          <w:rFonts w:hint="eastAsia" w:cs="宋体" w:asciiTheme="minorEastAsia" w:hAnsiTheme="minorEastAsia" w:eastAsiaTheme="minorEastAsia"/>
          <w:b/>
          <w:bCs w:val="0"/>
          <w:sz w:val="24"/>
        </w:rPr>
        <w:t>项目概况</w:t>
      </w:r>
    </w:p>
    <w:p w14:paraId="1B22B9DF">
      <w:pPr>
        <w:spacing w:line="560" w:lineRule="exact"/>
        <w:ind w:firstLine="480" w:firstLineChars="200"/>
        <w:jc w:val="left"/>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河南万基铝业股份有限公司一、二公司电解生产，核心以电解烟气净化系统管控废气污染物（颗粒物、氟化物、二氧化硫）。电解槽烟气密闭收集后，采用氧化铝干法吸附除氟+布袋除尘+半干法脱硫工艺处理，载氟氧化铝回收返回电解生产，实现氟资源循环利用，净化后烟气</w:t>
      </w:r>
      <w:bookmarkStart w:id="22" w:name="_GoBack"/>
      <w:bookmarkEnd w:id="22"/>
      <w:r>
        <w:rPr>
          <w:rFonts w:hint="eastAsia" w:cs="宋体" w:asciiTheme="minorEastAsia" w:hAnsiTheme="minorEastAsia" w:eastAsiaTheme="minorEastAsia"/>
          <w:bCs/>
          <w:sz w:val="24"/>
        </w:rPr>
        <w:t>达标排放，满足铝工业超低排放限值要求 。</w:t>
      </w:r>
    </w:p>
    <w:p w14:paraId="50FF9255">
      <w:pPr>
        <w:spacing w:line="560" w:lineRule="exact"/>
        <w:ind w:firstLine="480" w:firstLineChars="200"/>
        <w:jc w:val="left"/>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全厂共8个主要废气排放口，全部安装烟气自动在线监测设备。</w:t>
      </w:r>
    </w:p>
    <w:p w14:paraId="084FFDD3">
      <w:pPr>
        <w:spacing w:line="560" w:lineRule="exact"/>
        <w:ind w:firstLine="480" w:firstLineChars="200"/>
        <w:jc w:val="left"/>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根据</w:t>
      </w:r>
      <w:r>
        <w:rPr>
          <w:rFonts w:hint="eastAsia" w:cs="宋体" w:asciiTheme="minorEastAsia" w:hAnsiTheme="minorEastAsia" w:eastAsiaTheme="minorEastAsia"/>
          <w:bCs/>
          <w:sz w:val="24"/>
          <w:lang w:eastAsia="zh-CN"/>
        </w:rPr>
        <w:t>《</w:t>
      </w:r>
      <w:r>
        <w:rPr>
          <w:rFonts w:hint="eastAsia" w:cs="宋体" w:asciiTheme="minorEastAsia" w:hAnsiTheme="minorEastAsia" w:eastAsiaTheme="minorEastAsia"/>
          <w:bCs/>
          <w:sz w:val="24"/>
          <w:lang w:val="en-US" w:eastAsia="zh-CN"/>
        </w:rPr>
        <w:t>排污单位污染物排放口监测点位设置技术规范</w:t>
      </w:r>
      <w:r>
        <w:rPr>
          <w:rFonts w:hint="eastAsia" w:cs="宋体" w:asciiTheme="minorEastAsia" w:hAnsiTheme="minorEastAsia" w:eastAsiaTheme="minorEastAsia"/>
          <w:bCs/>
          <w:sz w:val="24"/>
          <w:lang w:eastAsia="zh-CN"/>
        </w:rPr>
        <w:t>》</w:t>
      </w:r>
      <w:r>
        <w:rPr>
          <w:rFonts w:hint="eastAsia" w:cs="宋体" w:asciiTheme="minorEastAsia" w:hAnsiTheme="minorEastAsia" w:eastAsiaTheme="minorEastAsia"/>
          <w:bCs/>
          <w:sz w:val="24"/>
        </w:rPr>
        <w:t xml:space="preserve">（HJ </w:t>
      </w:r>
      <w:r>
        <w:rPr>
          <w:rFonts w:hint="eastAsia" w:cs="宋体" w:asciiTheme="minorEastAsia" w:hAnsiTheme="minorEastAsia" w:eastAsiaTheme="minorEastAsia"/>
          <w:bCs/>
          <w:sz w:val="24"/>
          <w:lang w:val="en-US" w:eastAsia="zh-CN"/>
        </w:rPr>
        <w:t>1405</w:t>
      </w:r>
      <w:r>
        <w:rPr>
          <w:rFonts w:hint="eastAsia" w:cs="宋体" w:asciiTheme="minorEastAsia" w:hAnsiTheme="minorEastAsia" w:eastAsiaTheme="minorEastAsia"/>
          <w:bCs/>
          <w:sz w:val="24"/>
        </w:rPr>
        <w:t>-20</w:t>
      </w:r>
      <w:r>
        <w:rPr>
          <w:rFonts w:hint="eastAsia" w:cs="宋体" w:asciiTheme="minorEastAsia" w:hAnsiTheme="minorEastAsia" w:eastAsiaTheme="minorEastAsia"/>
          <w:bCs/>
          <w:sz w:val="24"/>
          <w:lang w:val="en-US" w:eastAsia="zh-CN"/>
        </w:rPr>
        <w:t>24</w:t>
      </w:r>
      <w:r>
        <w:rPr>
          <w:rFonts w:hint="eastAsia" w:cs="宋体" w:asciiTheme="minorEastAsia" w:hAnsiTheme="minorEastAsia" w:eastAsiaTheme="minorEastAsia"/>
          <w:bCs/>
          <w:sz w:val="24"/>
        </w:rPr>
        <w:t xml:space="preserve">） 中 </w:t>
      </w:r>
      <w:r>
        <w:rPr>
          <w:rFonts w:hint="eastAsia" w:cs="宋体" w:asciiTheme="minorEastAsia" w:hAnsiTheme="minorEastAsia" w:eastAsiaTheme="minorEastAsia"/>
          <w:bCs/>
          <w:sz w:val="24"/>
          <w:lang w:val="en-US" w:eastAsia="zh-CN"/>
        </w:rPr>
        <w:t>4.2.3</w:t>
      </w:r>
      <w:r>
        <w:rPr>
          <w:rFonts w:hint="eastAsia" w:cs="宋体" w:asciiTheme="minorEastAsia" w:hAnsiTheme="minorEastAsia" w:eastAsiaTheme="minorEastAsia"/>
          <w:bCs/>
          <w:sz w:val="24"/>
        </w:rPr>
        <w:t>条具体要求：烟囱入口</w:t>
      </w:r>
      <w:bookmarkStart w:id="2" w:name="OLE_LINK12"/>
      <w:bookmarkStart w:id="3" w:name="OLE_LINK11"/>
      <w:r>
        <w:rPr>
          <w:rFonts w:hint="eastAsia" w:cs="宋体" w:asciiTheme="minorEastAsia" w:hAnsiTheme="minorEastAsia" w:eastAsiaTheme="minorEastAsia"/>
          <w:bCs/>
          <w:sz w:val="24"/>
        </w:rPr>
        <w:t>烟气在线监测测点安装位置</w:t>
      </w:r>
      <w:bookmarkEnd w:id="2"/>
      <w:bookmarkEnd w:id="3"/>
      <w:r>
        <w:rPr>
          <w:rFonts w:hint="eastAsia" w:cs="宋体" w:asciiTheme="minorEastAsia" w:hAnsiTheme="minorEastAsia" w:eastAsiaTheme="minorEastAsia"/>
          <w:bCs/>
          <w:sz w:val="24"/>
        </w:rPr>
        <w:t>应设置在距弯头、阀门、变  径管下游方向&gt;4 倍烟道当量直径，以及距上述部件上游方向&gt;2 倍烟道当量直径处，我公司烟道不满足上述要求，需开展烟气断面设置合理性评估工作。</w:t>
      </w:r>
    </w:p>
    <w:p w14:paraId="37FDBEFF">
      <w:pPr>
        <w:spacing w:line="560" w:lineRule="exact"/>
        <w:jc w:val="left"/>
        <w:outlineLvl w:val="1"/>
        <w:rPr>
          <w:rFonts w:hint="eastAsia" w:cs="宋体" w:asciiTheme="minorEastAsia" w:hAnsiTheme="minorEastAsia" w:eastAsiaTheme="minorEastAsia"/>
          <w:b/>
          <w:bCs w:val="0"/>
          <w:sz w:val="24"/>
        </w:rPr>
      </w:pPr>
      <w:r>
        <w:rPr>
          <w:rFonts w:hint="eastAsia" w:cs="宋体" w:asciiTheme="minorEastAsia" w:hAnsiTheme="minorEastAsia" w:eastAsiaTheme="minorEastAsia"/>
          <w:b/>
          <w:bCs w:val="0"/>
          <w:sz w:val="24"/>
          <w:lang w:val="en-US" w:eastAsia="zh-CN"/>
        </w:rPr>
        <w:t>二、</w:t>
      </w:r>
      <w:r>
        <w:rPr>
          <w:rFonts w:hint="eastAsia" w:cs="宋体" w:asciiTheme="minorEastAsia" w:hAnsiTheme="minorEastAsia" w:eastAsiaTheme="minorEastAsia"/>
          <w:b/>
          <w:bCs w:val="0"/>
          <w:sz w:val="24"/>
        </w:rPr>
        <w:t>服务范围</w:t>
      </w:r>
    </w:p>
    <w:p w14:paraId="1C950FA9">
      <w:pPr>
        <w:spacing w:line="560" w:lineRule="exact"/>
        <w:ind w:firstLine="480" w:firstLineChars="200"/>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按照《固定污染源烟气（SO</w:t>
      </w:r>
      <w:r>
        <w:rPr>
          <w:rFonts w:hint="eastAsia" w:cs="宋体" w:asciiTheme="minorEastAsia" w:hAnsiTheme="minorEastAsia" w:eastAsiaTheme="minorEastAsia"/>
          <w:bCs/>
          <w:sz w:val="24"/>
          <w:vertAlign w:val="subscript"/>
        </w:rPr>
        <w:t>2</w:t>
      </w:r>
      <w:r>
        <w:rPr>
          <w:rFonts w:hint="eastAsia" w:cs="宋体" w:asciiTheme="minorEastAsia" w:hAnsiTheme="minorEastAsia" w:eastAsiaTheme="minorEastAsia"/>
          <w:bCs/>
          <w:sz w:val="24"/>
        </w:rPr>
        <w:t>、NOx、颗粒物）排放连续监测技术规范》（HJ75-2017）、《固定污染源烟气（SO</w:t>
      </w:r>
      <w:r>
        <w:rPr>
          <w:rFonts w:hint="eastAsia" w:cs="宋体" w:asciiTheme="minorEastAsia" w:hAnsiTheme="minorEastAsia" w:eastAsiaTheme="minorEastAsia"/>
          <w:bCs/>
          <w:sz w:val="24"/>
          <w:vertAlign w:val="subscript"/>
        </w:rPr>
        <w:t>2</w:t>
      </w:r>
      <w:r>
        <w:rPr>
          <w:rFonts w:hint="eastAsia" w:cs="宋体" w:asciiTheme="minorEastAsia" w:hAnsiTheme="minorEastAsia" w:eastAsiaTheme="minorEastAsia"/>
          <w:bCs/>
          <w:sz w:val="24"/>
        </w:rPr>
        <w:t>、NOx、颗粒物）排放连续监测系统技术要求及检测方法》</w:t>
      </w:r>
      <w:bookmarkEnd w:id="0"/>
      <w:bookmarkEnd w:id="1"/>
      <w:r>
        <w:rPr>
          <w:rFonts w:hint="eastAsia" w:cs="宋体" w:asciiTheme="minorEastAsia" w:hAnsiTheme="minorEastAsia" w:eastAsiaTheme="minorEastAsia"/>
          <w:bCs/>
          <w:sz w:val="24"/>
        </w:rPr>
        <w:t>（HJ76-2017）、《</w:t>
      </w:r>
      <w:bookmarkStart w:id="4" w:name="OLE_LINK21"/>
      <w:bookmarkStart w:id="5" w:name="OLE_LINK22"/>
      <w:r>
        <w:rPr>
          <w:rFonts w:hint="eastAsia" w:cs="宋体" w:asciiTheme="minorEastAsia" w:hAnsiTheme="minorEastAsia" w:eastAsiaTheme="minorEastAsia"/>
          <w:bCs/>
          <w:sz w:val="24"/>
        </w:rPr>
        <w:t>固定污染源排气中颗粒物测定与气态污染物采样方法》（含修改单）(GB/T 16157-1996)、《固定源废气监测技术规范》(HJ/T 397-2007)、《排污单位污染物排放口监测点位设置技术规范》(HJ 1405-2024)</w:t>
      </w:r>
      <w:bookmarkEnd w:id="4"/>
      <w:bookmarkEnd w:id="5"/>
      <w:r>
        <w:rPr>
          <w:rFonts w:hint="eastAsia" w:cs="宋体" w:asciiTheme="minorEastAsia" w:hAnsiTheme="minorEastAsia" w:eastAsiaTheme="minorEastAsia"/>
          <w:bCs/>
          <w:sz w:val="24"/>
        </w:rPr>
        <w:t>等国家和地方法律法规、标准要求，对</w:t>
      </w:r>
      <w:r>
        <w:rPr>
          <w:rFonts w:hint="eastAsia" w:cs="宋体" w:asciiTheme="minorEastAsia" w:hAnsiTheme="minorEastAsia" w:eastAsiaTheme="minorEastAsia"/>
          <w:bCs/>
          <w:sz w:val="24"/>
          <w:lang w:val="en-US" w:eastAsia="zh-CN"/>
        </w:rPr>
        <w:t>河南万基铝业股份有限</w:t>
      </w:r>
      <w:r>
        <w:rPr>
          <w:rFonts w:hint="eastAsia" w:cs="宋体" w:asciiTheme="minorEastAsia" w:hAnsiTheme="minorEastAsia" w:eastAsiaTheme="minorEastAsia"/>
          <w:bCs/>
          <w:sz w:val="24"/>
        </w:rPr>
        <w:t>公司</w:t>
      </w:r>
      <w:r>
        <w:rPr>
          <w:rFonts w:hint="eastAsia" w:cs="宋体" w:asciiTheme="minorEastAsia" w:hAnsiTheme="minorEastAsia" w:eastAsiaTheme="minorEastAsia"/>
          <w:bCs/>
          <w:sz w:val="24"/>
          <w:lang w:val="en-US" w:eastAsia="zh-CN"/>
        </w:rPr>
        <w:t>#1-8</w:t>
      </w:r>
      <w:r>
        <w:rPr>
          <w:rFonts w:hint="eastAsia" w:cs="宋体" w:asciiTheme="minorEastAsia" w:hAnsiTheme="minorEastAsia" w:eastAsiaTheme="minorEastAsia"/>
          <w:bCs/>
          <w:sz w:val="24"/>
        </w:rPr>
        <w:t>号</w:t>
      </w:r>
      <w:r>
        <w:rPr>
          <w:rFonts w:hint="eastAsia" w:cs="宋体" w:asciiTheme="minorEastAsia" w:hAnsiTheme="minorEastAsia" w:eastAsiaTheme="minorEastAsia"/>
          <w:bCs/>
          <w:sz w:val="24"/>
          <w:lang w:val="en-US" w:eastAsia="zh-CN"/>
        </w:rPr>
        <w:t>排放口</w:t>
      </w:r>
      <w:r>
        <w:rPr>
          <w:rFonts w:hint="eastAsia" w:cs="宋体" w:asciiTheme="minorEastAsia" w:hAnsiTheme="minorEastAsia" w:eastAsiaTheme="minorEastAsia"/>
          <w:bCs/>
          <w:sz w:val="24"/>
        </w:rPr>
        <w:t>烟道进行烟气分布均匀程度测试，出具测试评估报告，指导公司烟气在线监测测点尽可能的选择在气流稳定的断面安装位置。</w:t>
      </w:r>
    </w:p>
    <w:p w14:paraId="1D868F3A">
      <w:pPr>
        <w:spacing w:line="560" w:lineRule="exact"/>
        <w:outlineLvl w:val="1"/>
        <w:rPr>
          <w:rFonts w:hint="eastAsia" w:cs="宋体" w:asciiTheme="minorEastAsia" w:hAnsiTheme="minorEastAsia" w:eastAsiaTheme="minorEastAsia"/>
          <w:b/>
          <w:bCs w:val="0"/>
          <w:sz w:val="24"/>
        </w:rPr>
      </w:pPr>
      <w:r>
        <w:rPr>
          <w:rFonts w:hint="eastAsia" w:cs="宋体" w:asciiTheme="minorEastAsia" w:hAnsiTheme="minorEastAsia" w:eastAsiaTheme="minorEastAsia"/>
          <w:b/>
          <w:bCs w:val="0"/>
          <w:sz w:val="24"/>
          <w:lang w:val="en-US" w:eastAsia="zh-CN"/>
        </w:rPr>
        <w:t>三、</w:t>
      </w:r>
      <w:r>
        <w:rPr>
          <w:rFonts w:hint="eastAsia" w:cs="宋体" w:asciiTheme="minorEastAsia" w:hAnsiTheme="minorEastAsia" w:eastAsiaTheme="minorEastAsia"/>
          <w:b/>
          <w:bCs w:val="0"/>
          <w:sz w:val="24"/>
        </w:rPr>
        <w:t>服务期限</w:t>
      </w:r>
    </w:p>
    <w:p w14:paraId="4E316CD3">
      <w:pPr>
        <w:spacing w:line="560" w:lineRule="exact"/>
        <w:ind w:firstLine="480" w:firstLineChars="200"/>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lang w:val="en-US" w:eastAsia="zh-CN"/>
        </w:rPr>
        <w:t>合同签订</w:t>
      </w:r>
      <w:r>
        <w:rPr>
          <w:rFonts w:hint="eastAsia" w:cs="宋体" w:asciiTheme="minorEastAsia" w:hAnsiTheme="minorEastAsia" w:eastAsiaTheme="minorEastAsia"/>
          <w:bCs/>
          <w:sz w:val="24"/>
        </w:rPr>
        <w:t>之日起烟气断面设置合理性评估工作在30日之内完成。</w:t>
      </w:r>
    </w:p>
    <w:p w14:paraId="5928C2CD">
      <w:pPr>
        <w:spacing w:line="560" w:lineRule="exact"/>
        <w:outlineLvl w:val="1"/>
        <w:rPr>
          <w:rFonts w:hint="eastAsia" w:cs="宋体" w:asciiTheme="minorEastAsia" w:hAnsiTheme="minorEastAsia" w:eastAsiaTheme="minorEastAsia"/>
          <w:b/>
          <w:bCs w:val="0"/>
          <w:sz w:val="24"/>
        </w:rPr>
      </w:pPr>
      <w:r>
        <w:rPr>
          <w:rFonts w:hint="eastAsia" w:cs="宋体" w:asciiTheme="minorEastAsia" w:hAnsiTheme="minorEastAsia" w:eastAsiaTheme="minorEastAsia"/>
          <w:b/>
          <w:bCs w:val="0"/>
          <w:sz w:val="24"/>
          <w:lang w:val="en-US" w:eastAsia="zh-CN"/>
        </w:rPr>
        <w:t>四、</w:t>
      </w:r>
      <w:r>
        <w:rPr>
          <w:rFonts w:hint="eastAsia" w:cs="宋体" w:asciiTheme="minorEastAsia" w:hAnsiTheme="minorEastAsia" w:eastAsiaTheme="minorEastAsia"/>
          <w:b/>
          <w:bCs w:val="0"/>
          <w:sz w:val="24"/>
        </w:rPr>
        <w:t>服务地点</w:t>
      </w:r>
    </w:p>
    <w:p w14:paraId="0BC61EBF">
      <w:pPr>
        <w:spacing w:line="560" w:lineRule="exact"/>
        <w:ind w:firstLine="480" w:firstLineChars="200"/>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河南省新安县</w:t>
      </w:r>
      <w:r>
        <w:rPr>
          <w:rFonts w:hint="eastAsia" w:cs="宋体" w:asciiTheme="minorEastAsia" w:hAnsiTheme="minorEastAsia" w:eastAsiaTheme="minorEastAsia"/>
          <w:bCs/>
          <w:sz w:val="24"/>
          <w:lang w:val="en-US" w:eastAsia="zh-CN"/>
        </w:rPr>
        <w:t>河南万基铝业股份有限公司</w:t>
      </w:r>
      <w:r>
        <w:rPr>
          <w:rFonts w:hint="eastAsia" w:cs="宋体" w:asciiTheme="minorEastAsia" w:hAnsiTheme="minorEastAsia" w:eastAsiaTheme="minorEastAsia"/>
          <w:bCs/>
          <w:sz w:val="24"/>
        </w:rPr>
        <w:t>。</w:t>
      </w:r>
    </w:p>
    <w:p w14:paraId="4A964AEB">
      <w:pPr>
        <w:spacing w:line="560" w:lineRule="exact"/>
        <w:jc w:val="left"/>
        <w:outlineLvl w:val="1"/>
        <w:rPr>
          <w:rFonts w:hint="eastAsia" w:cs="宋体" w:asciiTheme="minorEastAsia" w:hAnsiTheme="minorEastAsia" w:eastAsiaTheme="minorEastAsia"/>
          <w:b/>
          <w:bCs/>
          <w:sz w:val="24"/>
        </w:rPr>
      </w:pPr>
      <w:bookmarkStart w:id="6" w:name="_Toc23147"/>
      <w:bookmarkStart w:id="7" w:name="_Toc27973_WPSOffice_Level2"/>
      <w:bookmarkStart w:id="8" w:name="_Toc28365"/>
      <w:r>
        <w:rPr>
          <w:rFonts w:hint="eastAsia" w:cs="宋体" w:asciiTheme="minorEastAsia" w:hAnsiTheme="minorEastAsia" w:eastAsiaTheme="minorEastAsia"/>
          <w:b/>
          <w:bCs/>
          <w:sz w:val="24"/>
          <w:lang w:val="en-US" w:eastAsia="zh-CN"/>
        </w:rPr>
        <w:t>五、</w:t>
      </w:r>
      <w:r>
        <w:rPr>
          <w:rFonts w:hint="eastAsia" w:cs="宋体" w:asciiTheme="minorEastAsia" w:hAnsiTheme="minorEastAsia" w:eastAsiaTheme="minorEastAsia"/>
          <w:b/>
          <w:bCs/>
          <w:sz w:val="24"/>
        </w:rPr>
        <w:t>服务标准和规范</w:t>
      </w:r>
      <w:bookmarkEnd w:id="6"/>
      <w:bookmarkEnd w:id="7"/>
      <w:bookmarkEnd w:id="8"/>
    </w:p>
    <w:p w14:paraId="02C508CB">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1通用部分</w:t>
      </w:r>
    </w:p>
    <w:p w14:paraId="5BEF0B0B">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1.1本项目</w:t>
      </w:r>
      <w:bookmarkStart w:id="9" w:name="OLE_LINK14"/>
      <w:bookmarkStart w:id="10" w:name="OLE_LINK15"/>
      <w:r>
        <w:rPr>
          <w:rFonts w:hint="eastAsia" w:asciiTheme="minorEastAsia" w:hAnsiTheme="minorEastAsia" w:eastAsiaTheme="minorEastAsia" w:cstheme="minorEastAsia"/>
          <w:bCs/>
          <w:sz w:val="24"/>
        </w:rPr>
        <w:t>所适用的法律、标准、规范为国家、地方及行业现行的法律、标准、规范，以及在合同实施期间国家、地方及行业对相应法律、标准或规范的修改，以及新颁布的法律、标准和规范。具体法律、标准和规范见专用部分，如专用部分未单独列出法律、规范和标准，则按国家、地方及行业相应最高要求实施。</w:t>
      </w:r>
      <w:bookmarkEnd w:id="9"/>
      <w:bookmarkEnd w:id="10"/>
    </w:p>
    <w:p w14:paraId="7C8780C8">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1.2本项目在执行上述要求外，还须执行</w:t>
      </w:r>
      <w:r>
        <w:rPr>
          <w:rFonts w:hint="eastAsia" w:asciiTheme="minorEastAsia" w:hAnsiTheme="minorEastAsia" w:eastAsiaTheme="minorEastAsia" w:cstheme="minorEastAsia"/>
          <w:bCs/>
          <w:sz w:val="24"/>
          <w:lang w:val="en-US" w:eastAsia="zh-CN"/>
        </w:rPr>
        <w:t>洛阳万基控股集团有限公司</w:t>
      </w:r>
      <w:r>
        <w:rPr>
          <w:rFonts w:hint="eastAsia" w:asciiTheme="minorEastAsia" w:hAnsiTheme="minorEastAsia" w:eastAsiaTheme="minorEastAsia" w:cstheme="minorEastAsia"/>
          <w:bCs/>
          <w:sz w:val="24"/>
        </w:rPr>
        <w:t>的相关管理文件要求。</w:t>
      </w:r>
    </w:p>
    <w:p w14:paraId="75647D0D">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2专用部分</w:t>
      </w:r>
    </w:p>
    <w:p w14:paraId="2B1E5A6E">
      <w:pPr>
        <w:adjustRightInd w:val="0"/>
        <w:snapToGrid w:val="0"/>
        <w:spacing w:line="560" w:lineRule="exact"/>
        <w:ind w:firstLine="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本项目所适用标准和规范见下（包括但不限于，其中没有标注日期的标准，其最新版本适用于本项目）：</w:t>
      </w:r>
    </w:p>
    <w:p w14:paraId="467FE76E">
      <w:pPr>
        <w:spacing w:line="560" w:lineRule="exact"/>
        <w:ind w:firstLine="480" w:firstLineChars="200"/>
        <w:outlineLvl w:val="1"/>
        <w:rPr>
          <w:rFonts w:hint="eastAsia" w:asciiTheme="minorEastAsia" w:hAnsiTheme="minorEastAsia" w:eastAsiaTheme="minorEastAsia"/>
          <w:sz w:val="24"/>
          <w:lang w:bidi="en-US"/>
        </w:rPr>
      </w:pPr>
      <w:r>
        <w:rPr>
          <w:rFonts w:hint="eastAsia" w:asciiTheme="minorEastAsia" w:hAnsiTheme="minorEastAsia" w:eastAsiaTheme="minorEastAsia"/>
          <w:sz w:val="24"/>
          <w:lang w:bidi="en-US"/>
        </w:rPr>
        <w:t>《固定污染源烟气（SO</w:t>
      </w:r>
      <w:r>
        <w:rPr>
          <w:rFonts w:hint="eastAsia" w:asciiTheme="minorEastAsia" w:hAnsiTheme="minorEastAsia" w:eastAsiaTheme="minorEastAsia"/>
          <w:sz w:val="24"/>
          <w:vertAlign w:val="subscript"/>
          <w:lang w:bidi="en-US"/>
        </w:rPr>
        <w:t>2</w:t>
      </w:r>
      <w:r>
        <w:rPr>
          <w:rFonts w:hint="eastAsia" w:asciiTheme="minorEastAsia" w:hAnsiTheme="minorEastAsia" w:eastAsiaTheme="minorEastAsia"/>
          <w:sz w:val="24"/>
          <w:lang w:bidi="en-US"/>
        </w:rPr>
        <w:t>、NO</w:t>
      </w:r>
      <w:r>
        <w:rPr>
          <w:rFonts w:hint="eastAsia" w:asciiTheme="minorEastAsia" w:hAnsiTheme="minorEastAsia" w:eastAsiaTheme="minorEastAsia"/>
          <w:sz w:val="24"/>
          <w:vertAlign w:val="subscript"/>
          <w:lang w:bidi="en-US"/>
        </w:rPr>
        <w:t>X</w:t>
      </w:r>
      <w:r>
        <w:rPr>
          <w:rFonts w:hint="eastAsia" w:asciiTheme="minorEastAsia" w:hAnsiTheme="minorEastAsia" w:eastAsiaTheme="minorEastAsia"/>
          <w:sz w:val="24"/>
          <w:lang w:bidi="en-US"/>
        </w:rPr>
        <w:t>、颗粒物）排放连续监测技术规范》（HJ75-2017）</w:t>
      </w:r>
    </w:p>
    <w:p w14:paraId="33DE4D04">
      <w:pPr>
        <w:spacing w:line="560" w:lineRule="exact"/>
        <w:ind w:firstLine="480" w:firstLineChars="200"/>
        <w:outlineLvl w:val="1"/>
        <w:rPr>
          <w:rFonts w:hint="eastAsia" w:asciiTheme="minorEastAsia" w:hAnsiTheme="minorEastAsia" w:eastAsiaTheme="minorEastAsia"/>
          <w:sz w:val="24"/>
          <w:lang w:bidi="en-US"/>
        </w:rPr>
      </w:pPr>
      <w:r>
        <w:rPr>
          <w:rFonts w:hint="eastAsia" w:asciiTheme="minorEastAsia" w:hAnsiTheme="minorEastAsia" w:eastAsiaTheme="minorEastAsia"/>
          <w:sz w:val="24"/>
          <w:lang w:bidi="en-US"/>
        </w:rPr>
        <w:t>《固定污染源烟气（SO</w:t>
      </w:r>
      <w:r>
        <w:rPr>
          <w:rFonts w:hint="eastAsia" w:asciiTheme="minorEastAsia" w:hAnsiTheme="minorEastAsia" w:eastAsiaTheme="minorEastAsia"/>
          <w:sz w:val="24"/>
          <w:vertAlign w:val="subscript"/>
          <w:lang w:bidi="en-US"/>
        </w:rPr>
        <w:t>2</w:t>
      </w:r>
      <w:r>
        <w:rPr>
          <w:rFonts w:hint="eastAsia" w:asciiTheme="minorEastAsia" w:hAnsiTheme="minorEastAsia" w:eastAsiaTheme="minorEastAsia"/>
          <w:sz w:val="24"/>
          <w:lang w:bidi="en-US"/>
        </w:rPr>
        <w:t>、NO</w:t>
      </w:r>
      <w:r>
        <w:rPr>
          <w:rFonts w:hint="eastAsia" w:asciiTheme="minorEastAsia" w:hAnsiTheme="minorEastAsia" w:eastAsiaTheme="minorEastAsia"/>
          <w:sz w:val="24"/>
          <w:vertAlign w:val="subscript"/>
          <w:lang w:bidi="en-US"/>
        </w:rPr>
        <w:t>X</w:t>
      </w:r>
      <w:r>
        <w:rPr>
          <w:rFonts w:hint="eastAsia" w:asciiTheme="minorEastAsia" w:hAnsiTheme="minorEastAsia" w:eastAsiaTheme="minorEastAsia"/>
          <w:sz w:val="24"/>
          <w:lang w:bidi="en-US"/>
        </w:rPr>
        <w:t>、颗粒物）排放连续监测系统技术要求及检测方法》（HJ76-2017）</w:t>
      </w:r>
    </w:p>
    <w:p w14:paraId="723D5510">
      <w:pPr>
        <w:spacing w:line="560" w:lineRule="exact"/>
        <w:ind w:firstLine="480" w:firstLineChars="200"/>
        <w:outlineLvl w:val="1"/>
        <w:rPr>
          <w:rFonts w:hint="eastAsia" w:cs="宋体" w:asciiTheme="minorEastAsia" w:hAnsiTheme="minorEastAsia" w:eastAsiaTheme="minorEastAsia"/>
          <w:bCs/>
          <w:sz w:val="24"/>
        </w:rPr>
      </w:pPr>
      <w:r>
        <w:rPr>
          <w:rFonts w:hint="eastAsia" w:asciiTheme="minorEastAsia" w:hAnsiTheme="minorEastAsia" w:eastAsiaTheme="minorEastAsia"/>
          <w:sz w:val="24"/>
          <w:lang w:bidi="en-US"/>
        </w:rPr>
        <w:t>《</w:t>
      </w:r>
      <w:r>
        <w:rPr>
          <w:rFonts w:hint="eastAsia" w:cs="宋体" w:asciiTheme="minorEastAsia" w:hAnsiTheme="minorEastAsia" w:eastAsiaTheme="minorEastAsia"/>
          <w:bCs/>
          <w:sz w:val="24"/>
        </w:rPr>
        <w:t>固定污染源排气中颗粒物测定与气态污染物采样方法》（含修改单）(GB/T 16157-1996)</w:t>
      </w:r>
    </w:p>
    <w:p w14:paraId="35F53303">
      <w:pPr>
        <w:spacing w:line="560" w:lineRule="exact"/>
        <w:ind w:firstLine="480" w:firstLineChars="200"/>
        <w:outlineLvl w:val="1"/>
        <w:rPr>
          <w:rFonts w:hint="eastAsia" w:cs="宋体" w:asciiTheme="minorEastAsia" w:hAnsiTheme="minorEastAsia" w:eastAsiaTheme="minorEastAsia"/>
          <w:bCs/>
          <w:sz w:val="24"/>
        </w:rPr>
      </w:pPr>
      <w:r>
        <w:rPr>
          <w:rFonts w:hint="eastAsia" w:cs="宋体" w:asciiTheme="minorEastAsia" w:hAnsiTheme="minorEastAsia" w:eastAsiaTheme="minorEastAsia"/>
          <w:bCs/>
          <w:sz w:val="24"/>
        </w:rPr>
        <w:t>《固定源废气监测技术规范》(HJ/T 397-2007)</w:t>
      </w:r>
    </w:p>
    <w:p w14:paraId="1AB2B8A8">
      <w:pPr>
        <w:spacing w:line="560" w:lineRule="exact"/>
        <w:ind w:firstLine="480" w:firstLineChars="200"/>
        <w:outlineLvl w:val="1"/>
        <w:rPr>
          <w:rFonts w:hint="eastAsia" w:asciiTheme="minorEastAsia" w:hAnsiTheme="minorEastAsia" w:eastAsiaTheme="minorEastAsia"/>
          <w:sz w:val="24"/>
          <w:lang w:bidi="en-US"/>
        </w:rPr>
      </w:pPr>
      <w:r>
        <w:rPr>
          <w:rFonts w:hint="eastAsia" w:cs="宋体" w:asciiTheme="minorEastAsia" w:hAnsiTheme="minorEastAsia" w:eastAsiaTheme="minorEastAsia"/>
          <w:bCs/>
          <w:sz w:val="24"/>
        </w:rPr>
        <w:t>《排污单位污染物排放口监测点位设置技术规范》(HJ 1405-2024)</w:t>
      </w:r>
    </w:p>
    <w:p w14:paraId="4EB703B9">
      <w:pPr>
        <w:spacing w:line="560" w:lineRule="exact"/>
        <w:ind w:firstLine="480" w:firstLineChars="200"/>
        <w:outlineLvl w:val="1"/>
        <w:rPr>
          <w:rFonts w:hint="eastAsia" w:asciiTheme="minorEastAsia" w:hAnsiTheme="minorEastAsia" w:eastAsiaTheme="minorEastAsia"/>
          <w:sz w:val="24"/>
          <w:lang w:bidi="en-US"/>
        </w:rPr>
      </w:pPr>
      <w:r>
        <w:rPr>
          <w:rFonts w:hint="eastAsia" w:asciiTheme="minorEastAsia" w:hAnsiTheme="minorEastAsia" w:eastAsiaTheme="minorEastAsia"/>
          <w:sz w:val="24"/>
          <w:lang w:bidi="en-US"/>
        </w:rPr>
        <w:t>《关于做好重点单位自动监控安装联网相关工作的通知》（环办执法函【2021】484号）</w:t>
      </w:r>
    </w:p>
    <w:p w14:paraId="4B27188A">
      <w:pPr>
        <w:spacing w:line="560" w:lineRule="exact"/>
        <w:outlineLvl w:val="1"/>
        <w:rPr>
          <w:rFonts w:hint="eastAsia" w:cs="宋体" w:asciiTheme="minorEastAsia" w:hAnsiTheme="minorEastAsia" w:eastAsiaTheme="minorEastAsia"/>
          <w:b/>
          <w:bCs/>
          <w:sz w:val="24"/>
        </w:rPr>
      </w:pPr>
      <w:r>
        <w:rPr>
          <w:rFonts w:hint="eastAsia" w:asciiTheme="minorEastAsia" w:hAnsiTheme="minorEastAsia" w:eastAsiaTheme="minorEastAsia"/>
          <w:b/>
          <w:bCs/>
          <w:sz w:val="24"/>
          <w:lang w:val="en-US" w:eastAsia="zh-CN" w:bidi="en-US"/>
        </w:rPr>
        <w:t>六、</w:t>
      </w:r>
      <w:r>
        <w:rPr>
          <w:rFonts w:hint="eastAsia" w:cs="宋体" w:asciiTheme="minorEastAsia" w:hAnsiTheme="minorEastAsia" w:eastAsiaTheme="minorEastAsia"/>
          <w:b/>
          <w:bCs/>
          <w:sz w:val="24"/>
        </w:rPr>
        <w:t>技术要求</w:t>
      </w:r>
    </w:p>
    <w:p w14:paraId="35E54571">
      <w:pPr>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1通用部分</w:t>
      </w:r>
    </w:p>
    <w:p w14:paraId="37A5DBB0">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1.1</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应按要求配置数量足够、专业齐全、结构合理的服务团队进行工作。其中须指定人员作为本服务项目团队的负责人。</w:t>
      </w:r>
      <w:r>
        <w:rPr>
          <w:rFonts w:hint="eastAsia" w:asciiTheme="minorEastAsia" w:hAnsiTheme="minorEastAsia" w:eastAsiaTheme="minorEastAsia" w:cstheme="minorEastAsia"/>
          <w:bCs/>
          <w:sz w:val="24"/>
          <w:lang w:eastAsia="zh-CN"/>
        </w:rPr>
        <w:t>检测公司</w:t>
      </w:r>
      <w:r>
        <w:rPr>
          <w:rFonts w:hint="eastAsia" w:asciiTheme="minorEastAsia" w:hAnsiTheme="minorEastAsia" w:eastAsiaTheme="minorEastAsia" w:cstheme="minorEastAsia"/>
          <w:bCs/>
          <w:sz w:val="24"/>
        </w:rPr>
        <w:t>参加现场工作人员年龄不得低于18岁和超过55岁。</w:t>
      </w:r>
    </w:p>
    <w:p w14:paraId="2628E21C">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1.2</w:t>
      </w:r>
      <w:bookmarkStart w:id="11" w:name="OLE_LINK18"/>
      <w:bookmarkStart w:id="12" w:name="OLE_LINK17"/>
      <w:r>
        <w:rPr>
          <w:rFonts w:hint="eastAsia" w:asciiTheme="minorEastAsia" w:hAnsiTheme="minorEastAsia" w:eastAsiaTheme="minorEastAsia" w:cstheme="minorEastAsia"/>
          <w:bCs/>
          <w:sz w:val="24"/>
          <w:lang w:eastAsia="zh-CN"/>
        </w:rPr>
        <w:t>为确保项目的顺利实施</w:t>
      </w:r>
      <w:bookmarkEnd w:id="11"/>
      <w:bookmarkEnd w:id="12"/>
      <w:r>
        <w:rPr>
          <w:rFonts w:hint="eastAsia" w:asciiTheme="minorEastAsia" w:hAnsiTheme="minorEastAsia" w:eastAsiaTheme="minorEastAsia" w:cstheme="minorEastAsia"/>
          <w:bCs/>
          <w:sz w:val="24"/>
          <w:lang w:eastAsia="zh-CN"/>
        </w:rPr>
        <w:t>，</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至少为本项目配备2名工作人员，且工作人员具有中国环境保护产业协会颁发的自动监控（烟尘烟气）上岗证考试合格证书。</w:t>
      </w:r>
    </w:p>
    <w:p w14:paraId="549FE244">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1.3若</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工作人员不能满足要求，采购人有权要求</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人增加或更换工作人员，</w:t>
      </w:r>
      <w:r>
        <w:rPr>
          <w:rFonts w:hint="eastAsia" w:asciiTheme="minorEastAsia" w:hAnsiTheme="minorEastAsia" w:eastAsiaTheme="minorEastAsia" w:cstheme="minorEastAsia"/>
          <w:bCs/>
          <w:sz w:val="24"/>
          <w:lang w:eastAsia="zh-CN"/>
        </w:rPr>
        <w:t>检测公司</w:t>
      </w:r>
      <w:r>
        <w:rPr>
          <w:rFonts w:hint="eastAsia" w:asciiTheme="minorEastAsia" w:hAnsiTheme="minorEastAsia" w:eastAsiaTheme="minorEastAsia" w:cstheme="minorEastAsia"/>
          <w:bCs/>
          <w:sz w:val="24"/>
        </w:rPr>
        <w:t>应无条件配合。</w:t>
      </w:r>
    </w:p>
    <w:p w14:paraId="14B821FF">
      <w:pPr>
        <w:adjustRightInd w:val="0"/>
        <w:snapToGrid w:val="0"/>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1.4在签订合同之后，采购人保留对本技术要求提出补充要求和修改的权力，</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应承诺予以配合。如提出修改，具体项目和条件由双方商定。</w:t>
      </w:r>
    </w:p>
    <w:p w14:paraId="746779DA">
      <w:pPr>
        <w:adjustRightInd w:val="0"/>
        <w:snapToGrid w:val="0"/>
        <w:spacing w:line="560" w:lineRule="exact"/>
        <w:ind w:firstLine="482" w:firstLineChars="200"/>
        <w:rPr>
          <w:rFonts w:hint="default" w:asciiTheme="minorEastAsia" w:hAnsiTheme="minorEastAsia" w:eastAsiaTheme="minorEastAsia" w:cstheme="minorEastAsia"/>
          <w:b/>
          <w:bCs w:val="0"/>
          <w:sz w:val="24"/>
          <w:lang w:val="en-US" w:eastAsia="zh-CN"/>
        </w:rPr>
      </w:pPr>
      <w:r>
        <w:rPr>
          <w:rFonts w:hint="eastAsia" w:asciiTheme="minorEastAsia" w:hAnsiTheme="minorEastAsia" w:eastAsiaTheme="minorEastAsia" w:cstheme="minorEastAsia"/>
          <w:b/>
          <w:bCs w:val="0"/>
          <w:sz w:val="24"/>
          <w:lang w:val="en-US" w:eastAsia="zh-CN"/>
        </w:rPr>
        <w:t>1.5检测公司在投标前，应对我公司8个排放口</w:t>
      </w:r>
      <w:r>
        <w:rPr>
          <w:rFonts w:hint="eastAsia" w:cs="宋体" w:asciiTheme="minorEastAsia" w:hAnsiTheme="minorEastAsia" w:eastAsiaTheme="minorEastAsia"/>
          <w:b/>
          <w:bCs w:val="0"/>
          <w:sz w:val="24"/>
        </w:rPr>
        <w:t>烟气断面设置合理性</w:t>
      </w:r>
      <w:r>
        <w:rPr>
          <w:rFonts w:hint="eastAsia" w:cs="宋体" w:asciiTheme="minorEastAsia" w:hAnsiTheme="minorEastAsia" w:eastAsiaTheme="minorEastAsia"/>
          <w:b/>
          <w:bCs w:val="0"/>
          <w:sz w:val="24"/>
          <w:lang w:val="en-US" w:eastAsia="zh-CN"/>
        </w:rPr>
        <w:t>进行预</w:t>
      </w:r>
      <w:r>
        <w:rPr>
          <w:rFonts w:hint="eastAsia" w:cs="宋体" w:asciiTheme="minorEastAsia" w:hAnsiTheme="minorEastAsia" w:eastAsiaTheme="minorEastAsia"/>
          <w:b/>
          <w:bCs w:val="0"/>
          <w:sz w:val="24"/>
        </w:rPr>
        <w:t>评估</w:t>
      </w:r>
      <w:r>
        <w:rPr>
          <w:rFonts w:hint="eastAsia" w:cs="宋体" w:asciiTheme="minorEastAsia" w:hAnsiTheme="minorEastAsia" w:eastAsiaTheme="minorEastAsia"/>
          <w:b/>
          <w:bCs w:val="0"/>
          <w:sz w:val="24"/>
          <w:lang w:eastAsia="zh-CN"/>
        </w:rPr>
        <w:t>，</w:t>
      </w:r>
      <w:r>
        <w:rPr>
          <w:rFonts w:hint="eastAsia" w:cs="宋体" w:asciiTheme="minorEastAsia" w:hAnsiTheme="minorEastAsia" w:eastAsiaTheme="minorEastAsia"/>
          <w:b/>
          <w:bCs w:val="0"/>
          <w:sz w:val="24"/>
          <w:lang w:val="en-US" w:eastAsia="zh-CN"/>
        </w:rPr>
        <w:t>确保合同签订后我公司8个排放口满足烟气断面设置合理性要求。</w:t>
      </w:r>
    </w:p>
    <w:p w14:paraId="76FCFE90">
      <w:pPr>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2专用部分</w:t>
      </w:r>
    </w:p>
    <w:p w14:paraId="62BECCBA">
      <w:pPr>
        <w:spacing w:line="560" w:lineRule="exact"/>
        <w:ind w:firstLine="480" w:firstLineChars="200"/>
        <w:rPr>
          <w:rFonts w:hint="eastAsia" w:asciiTheme="minorEastAsia" w:hAnsiTheme="minorEastAsia" w:eastAsiaTheme="minorEastAsia" w:cstheme="minorEastAsia"/>
          <w:bCs/>
          <w:sz w:val="24"/>
          <w:lang w:bidi="en-US"/>
        </w:rPr>
      </w:pPr>
      <w:r>
        <w:rPr>
          <w:rFonts w:hint="eastAsia" w:asciiTheme="minorEastAsia" w:hAnsiTheme="minorEastAsia" w:eastAsiaTheme="minorEastAsia" w:cstheme="minorEastAsia"/>
          <w:bCs/>
          <w:sz w:val="24"/>
        </w:rPr>
        <w:t>2.1</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lang w:bidi="en-US"/>
        </w:rPr>
        <w:t>必须严格遵守、执行国家、行业、地方环保部门、采购人颁布的各项规章制度、标准及管理办法，制定调试人员的工作职责，完成调试、验收工作，并接受采购人的监督、检查和考核。</w:t>
      </w:r>
      <w:r>
        <w:rPr>
          <w:rFonts w:hint="eastAsia" w:asciiTheme="minorEastAsia" w:hAnsiTheme="minorEastAsia" w:eastAsiaTheme="minorEastAsia" w:cstheme="minorEastAsia"/>
          <w:bCs/>
          <w:sz w:val="24"/>
        </w:rPr>
        <w:t>因</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原因导致工作重复开展的，发生的费用由</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自理。</w:t>
      </w:r>
    </w:p>
    <w:p w14:paraId="4CC0E37F">
      <w:pPr>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2.2</w:t>
      </w:r>
      <w:r>
        <w:rPr>
          <w:rFonts w:hint="eastAsia" w:asciiTheme="minorEastAsia" w:hAnsiTheme="minorEastAsia" w:eastAsiaTheme="minorEastAsia" w:cstheme="minorEastAsia"/>
          <w:bCs/>
          <w:kern w:val="0"/>
          <w:sz w:val="24"/>
          <w:lang w:bidi="en-US"/>
        </w:rPr>
        <w:t>按照采购人的要求，完成</w:t>
      </w:r>
      <w:r>
        <w:rPr>
          <w:rFonts w:hint="eastAsia" w:asciiTheme="minorEastAsia" w:hAnsiTheme="minorEastAsia" w:eastAsiaTheme="minorEastAsia" w:cstheme="minorEastAsia"/>
          <w:bCs/>
          <w:kern w:val="0"/>
          <w:sz w:val="24"/>
          <w:lang w:val="en-US" w:eastAsia="zh-CN" w:bidi="en-US"/>
        </w:rPr>
        <w:t>8个排放口</w:t>
      </w:r>
      <w:r>
        <w:rPr>
          <w:rFonts w:hint="eastAsia" w:asciiTheme="minorEastAsia" w:hAnsiTheme="minorEastAsia" w:eastAsiaTheme="minorEastAsia" w:cstheme="minorEastAsia"/>
          <w:bCs/>
          <w:kern w:val="0"/>
          <w:sz w:val="24"/>
          <w:lang w:bidi="en-US"/>
        </w:rPr>
        <w:t>断面设置合理性评估工作，出具合格的测试报告，</w:t>
      </w:r>
      <w:bookmarkStart w:id="13" w:name="OLE_LINK16"/>
      <w:bookmarkStart w:id="14" w:name="OLE_LINK13"/>
      <w:r>
        <w:rPr>
          <w:rFonts w:hint="eastAsia" w:asciiTheme="minorEastAsia" w:hAnsiTheme="minorEastAsia" w:eastAsiaTheme="minorEastAsia" w:cstheme="minorEastAsia"/>
          <w:bCs/>
          <w:kern w:val="0"/>
          <w:sz w:val="24"/>
          <w:lang w:bidi="en-US"/>
        </w:rPr>
        <w:t>提供纸质版4份和</w:t>
      </w:r>
      <w:bookmarkStart w:id="15" w:name="OLE_LINK36"/>
      <w:bookmarkStart w:id="16" w:name="OLE_LINK35"/>
      <w:r>
        <w:rPr>
          <w:rFonts w:hint="eastAsia" w:asciiTheme="minorEastAsia" w:hAnsiTheme="minorEastAsia" w:eastAsiaTheme="minorEastAsia" w:cstheme="minorEastAsia"/>
          <w:bCs/>
          <w:kern w:val="0"/>
          <w:sz w:val="24"/>
          <w:lang w:bidi="en-US"/>
        </w:rPr>
        <w:t>盖章</w:t>
      </w:r>
      <w:bookmarkEnd w:id="15"/>
      <w:bookmarkEnd w:id="16"/>
      <w:r>
        <w:rPr>
          <w:rFonts w:hint="eastAsia" w:asciiTheme="minorEastAsia" w:hAnsiTheme="minorEastAsia" w:eastAsiaTheme="minorEastAsia" w:cstheme="minorEastAsia"/>
          <w:bCs/>
          <w:kern w:val="0"/>
          <w:sz w:val="24"/>
          <w:lang w:bidi="en-US"/>
        </w:rPr>
        <w:t>电子版1份，</w:t>
      </w:r>
      <w:bookmarkEnd w:id="13"/>
      <w:bookmarkEnd w:id="14"/>
      <w:r>
        <w:rPr>
          <w:rFonts w:hint="eastAsia" w:asciiTheme="minorEastAsia" w:hAnsiTheme="minorEastAsia" w:eastAsiaTheme="minorEastAsia" w:cstheme="minorEastAsia"/>
          <w:bCs/>
          <w:kern w:val="0"/>
          <w:sz w:val="24"/>
          <w:lang w:bidi="en-US"/>
        </w:rPr>
        <w:t>涉及监测的原始记录装订成册，提供纸质版2份和盖章电子版1份。</w:t>
      </w:r>
    </w:p>
    <w:p w14:paraId="1EE45681">
      <w:pPr>
        <w:spacing w:line="560" w:lineRule="exact"/>
        <w:ind w:firstLine="480" w:firstLineChars="200"/>
        <w:rPr>
          <w:rFonts w:hint="eastAsia" w:asciiTheme="minorEastAsia" w:hAnsiTheme="minorEastAsia" w:eastAsiaTheme="minorEastAsia" w:cstheme="minorEastAsia"/>
          <w:bCs/>
          <w:sz w:val="24"/>
          <w:lang w:bidi="en-US"/>
        </w:rPr>
      </w:pPr>
      <w:r>
        <w:rPr>
          <w:rFonts w:hint="eastAsia" w:asciiTheme="minorEastAsia" w:hAnsiTheme="minorEastAsia" w:eastAsiaTheme="minorEastAsia" w:cstheme="minorEastAsia"/>
          <w:bCs/>
          <w:sz w:val="24"/>
        </w:rPr>
        <w:t>2.3</w:t>
      </w:r>
      <w:bookmarkStart w:id="17" w:name="OLE_LINK26"/>
      <w:bookmarkStart w:id="18" w:name="OLE_LINK27"/>
      <w:r>
        <w:rPr>
          <w:rFonts w:hint="eastAsia" w:asciiTheme="minorEastAsia" w:hAnsiTheme="minorEastAsia" w:eastAsiaTheme="minorEastAsia" w:cstheme="minorEastAsia"/>
          <w:bCs/>
          <w:sz w:val="24"/>
          <w:lang w:bidi="en-US"/>
        </w:rPr>
        <w:t>在调试验收期间产生的测量、标准气体、故障处理、检测、资料收集等费用都由</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lang w:bidi="en-US"/>
        </w:rPr>
        <w:t>提供。</w:t>
      </w:r>
    </w:p>
    <w:p w14:paraId="38D764C3">
      <w:pPr>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2.4</w:t>
      </w:r>
      <w:bookmarkEnd w:id="17"/>
      <w:bookmarkEnd w:id="18"/>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所有人员应执行采购人资料保密（包含技术信息、经营信息等）的义务，未经采购人许可，一律不准复印、外借，因</w:t>
      </w:r>
      <w:r>
        <w:rPr>
          <w:rFonts w:hint="eastAsia" w:asciiTheme="minorEastAsia" w:hAnsiTheme="minorEastAsia" w:eastAsiaTheme="minorEastAsia" w:cstheme="minorEastAsia"/>
          <w:bCs/>
          <w:sz w:val="24"/>
          <w:lang w:eastAsia="zh-CN"/>
        </w:rPr>
        <w:t>检测公司</w:t>
      </w:r>
      <w:r>
        <w:rPr>
          <w:rFonts w:hint="eastAsia" w:asciiTheme="minorEastAsia" w:hAnsiTheme="minorEastAsia" w:eastAsiaTheme="minorEastAsia" w:cstheme="minorEastAsia"/>
          <w:bCs/>
          <w:sz w:val="24"/>
        </w:rPr>
        <w:t>原因使得信息泄漏并造成损失的，采购人将追究相应的法律责任和经济赔偿。</w:t>
      </w:r>
    </w:p>
    <w:p w14:paraId="3A4154C6">
      <w:pPr>
        <w:spacing w:line="560" w:lineRule="exact"/>
        <w:ind w:firstLine="480" w:firstLineChars="200"/>
        <w:rPr>
          <w:rFonts w:hint="eastAsia" w:asciiTheme="minorEastAsia" w:hAnsiTheme="minorEastAsia" w:eastAsiaTheme="minorEastAsia" w:cstheme="minorEastAsia"/>
          <w:b/>
          <w:bCs w:val="0"/>
          <w:sz w:val="24"/>
          <w:highlight w:val="none"/>
        </w:rPr>
      </w:pPr>
      <w:r>
        <w:rPr>
          <w:rFonts w:hint="eastAsia" w:asciiTheme="minorEastAsia" w:hAnsiTheme="minorEastAsia" w:eastAsiaTheme="minorEastAsia" w:cstheme="minorEastAsia"/>
          <w:bCs/>
          <w:sz w:val="24"/>
        </w:rPr>
        <w:t>2.</w:t>
      </w:r>
      <w:r>
        <w:rPr>
          <w:rFonts w:hint="eastAsia" w:asciiTheme="minorEastAsia" w:hAnsiTheme="minorEastAsia" w:eastAsiaTheme="minorEastAsia" w:cstheme="minorEastAsia"/>
          <w:bCs/>
          <w:sz w:val="24"/>
          <w:highlight w:val="none"/>
        </w:rPr>
        <w:t>5</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
          <w:bCs w:val="0"/>
          <w:sz w:val="24"/>
          <w:highlight w:val="none"/>
        </w:rPr>
        <w:t>近五年应具有不少于</w:t>
      </w:r>
      <w:r>
        <w:rPr>
          <w:rFonts w:hint="eastAsia" w:asciiTheme="minorEastAsia" w:hAnsiTheme="minorEastAsia" w:eastAsiaTheme="minorEastAsia" w:cstheme="minorEastAsia"/>
          <w:b/>
          <w:bCs w:val="0"/>
          <w:color w:val="auto"/>
          <w:sz w:val="24"/>
          <w:highlight w:val="none"/>
          <w:shd w:val="clear" w:color="auto"/>
          <w:lang w:val="en-US" w:eastAsia="zh-CN"/>
        </w:rPr>
        <w:t>1</w:t>
      </w:r>
      <w:r>
        <w:rPr>
          <w:rFonts w:hint="eastAsia" w:asciiTheme="minorEastAsia" w:hAnsiTheme="minorEastAsia" w:eastAsiaTheme="minorEastAsia" w:cstheme="minorEastAsia"/>
          <w:b/>
          <w:bCs w:val="0"/>
          <w:color w:val="auto"/>
          <w:sz w:val="24"/>
          <w:highlight w:val="none"/>
          <w:shd w:val="clear" w:color="auto"/>
        </w:rPr>
        <w:t>项</w:t>
      </w:r>
      <w:r>
        <w:rPr>
          <w:rFonts w:hint="eastAsia" w:asciiTheme="minorEastAsia" w:hAnsiTheme="minorEastAsia" w:eastAsiaTheme="minorEastAsia" w:cstheme="minorEastAsia"/>
          <w:b/>
          <w:bCs w:val="0"/>
          <w:sz w:val="24"/>
          <w:highlight w:val="none"/>
        </w:rPr>
        <w:t>烟气断面设置合理性评估业绩。</w:t>
      </w:r>
    </w:p>
    <w:p w14:paraId="775DF1CA">
      <w:pPr>
        <w:spacing w:line="5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2.6</w:t>
      </w:r>
      <w:r>
        <w:rPr>
          <w:rFonts w:hint="eastAsia" w:asciiTheme="minorEastAsia" w:hAnsiTheme="minorEastAsia" w:eastAsiaTheme="minorEastAsia" w:cstheme="minorEastAsia"/>
          <w:bCs/>
          <w:sz w:val="24"/>
          <w:lang w:val="en-US" w:eastAsia="zh-CN"/>
        </w:rPr>
        <w:t>检测公司</w:t>
      </w:r>
      <w:r>
        <w:rPr>
          <w:rFonts w:hint="eastAsia" w:asciiTheme="minorEastAsia" w:hAnsiTheme="minorEastAsia" w:eastAsiaTheme="minorEastAsia" w:cstheme="minorEastAsia"/>
          <w:bCs/>
          <w:sz w:val="24"/>
        </w:rPr>
        <w:t>近三年未发生重大质量问题，无不良信誉记录。</w:t>
      </w:r>
    </w:p>
    <w:p w14:paraId="3ABB7B33">
      <w:pPr>
        <w:spacing w:line="560" w:lineRule="exact"/>
        <w:ind w:firstLine="480" w:firstLineChars="200"/>
        <w:rPr>
          <w:rFonts w:hint="eastAsia" w:asciiTheme="minorEastAsia" w:hAnsiTheme="minorEastAsia" w:eastAsiaTheme="minorEastAsia" w:cstheme="minorEastAsia"/>
          <w:bCs/>
          <w:sz w:val="24"/>
        </w:rPr>
      </w:pPr>
    </w:p>
    <w:p w14:paraId="38C7379C">
      <w:pPr>
        <w:spacing w:line="560" w:lineRule="exact"/>
        <w:ind w:firstLine="480" w:firstLineChars="200"/>
        <w:rPr>
          <w:rFonts w:hint="eastAsia"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en-US" w:eastAsia="zh-CN"/>
        </w:rPr>
        <w:t xml:space="preserve">                                        河南万基铝业股份有限公司</w:t>
      </w:r>
    </w:p>
    <w:p w14:paraId="485112CB">
      <w:pPr>
        <w:spacing w:line="560" w:lineRule="exact"/>
        <w:ind w:firstLine="480" w:firstLineChars="200"/>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en-US" w:eastAsia="zh-CN"/>
        </w:rPr>
        <w:t xml:space="preserve">                                           2026年9月7日</w:t>
      </w:r>
    </w:p>
    <w:p w14:paraId="7C4AE49D">
      <w:pPr>
        <w:spacing w:line="560" w:lineRule="exact"/>
        <w:ind w:firstLine="482" w:firstLineChars="200"/>
        <w:rPr>
          <w:rFonts w:hint="eastAsia" w:asciiTheme="minorEastAsia" w:hAnsiTheme="minorEastAsia" w:eastAsiaTheme="minorEastAsia" w:cstheme="minorEastAsia"/>
          <w:bCs/>
          <w:sz w:val="24"/>
          <w:shd w:val="clear" w:color="auto" w:fill="FFC000"/>
          <w:lang w:eastAsia="zh-CN"/>
        </w:rPr>
      </w:pPr>
      <w:bookmarkStart w:id="19" w:name="_Toc447097850"/>
      <w:bookmarkStart w:id="20" w:name="_Toc334104440"/>
      <w:bookmarkStart w:id="21" w:name="_Toc8513"/>
      <w:r>
        <w:rPr>
          <w:rFonts w:hint="eastAsia" w:cs="宋体" w:asciiTheme="minorEastAsia" w:hAnsiTheme="minorEastAsia" w:eastAsiaTheme="minorEastAsia"/>
          <w:b/>
          <w:bCs/>
          <w:sz w:val="24"/>
          <w:lang w:val="en-US" w:eastAsia="zh-CN"/>
        </w:rPr>
        <w:t xml:space="preserve"> </w:t>
      </w:r>
    </w:p>
    <w:bookmarkEnd w:id="19"/>
    <w:bookmarkEnd w:id="20"/>
    <w:bookmarkEnd w:id="21"/>
    <w:p w14:paraId="70EBD2F3">
      <w:pPr>
        <w:spacing w:line="560" w:lineRule="exact"/>
        <w:ind w:firstLine="480" w:firstLineChars="200"/>
        <w:outlineLvl w:val="1"/>
        <w:rPr>
          <w:rFonts w:hint="eastAsia" w:cs="宋体" w:asciiTheme="minorEastAsia" w:hAnsiTheme="minorEastAsia" w:eastAsiaTheme="minorEastAsia"/>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0818"/>
    <w:rsid w:val="00014A6D"/>
    <w:rsid w:val="00016DCD"/>
    <w:rsid w:val="00056BAD"/>
    <w:rsid w:val="00076ABF"/>
    <w:rsid w:val="00097956"/>
    <w:rsid w:val="000B6391"/>
    <w:rsid w:val="000F3EAE"/>
    <w:rsid w:val="001258C2"/>
    <w:rsid w:val="001375F8"/>
    <w:rsid w:val="00163AEF"/>
    <w:rsid w:val="001D3119"/>
    <w:rsid w:val="001D583C"/>
    <w:rsid w:val="001E0E8D"/>
    <w:rsid w:val="001E3A0B"/>
    <w:rsid w:val="00213AA2"/>
    <w:rsid w:val="00253D8B"/>
    <w:rsid w:val="00297BF3"/>
    <w:rsid w:val="002A1BF7"/>
    <w:rsid w:val="002B54E1"/>
    <w:rsid w:val="002C444A"/>
    <w:rsid w:val="002D5900"/>
    <w:rsid w:val="002E3CA5"/>
    <w:rsid w:val="002E4C52"/>
    <w:rsid w:val="00322187"/>
    <w:rsid w:val="003479A8"/>
    <w:rsid w:val="00351533"/>
    <w:rsid w:val="0035478A"/>
    <w:rsid w:val="0035562E"/>
    <w:rsid w:val="00380F7A"/>
    <w:rsid w:val="003A1078"/>
    <w:rsid w:val="003E21B9"/>
    <w:rsid w:val="003F4CA1"/>
    <w:rsid w:val="0040018C"/>
    <w:rsid w:val="004267A7"/>
    <w:rsid w:val="00460F0E"/>
    <w:rsid w:val="00467EDF"/>
    <w:rsid w:val="004A5C4A"/>
    <w:rsid w:val="004B3DF5"/>
    <w:rsid w:val="004B7E51"/>
    <w:rsid w:val="004C2FF9"/>
    <w:rsid w:val="004E5C4A"/>
    <w:rsid w:val="004F0AD5"/>
    <w:rsid w:val="00500F28"/>
    <w:rsid w:val="00530B77"/>
    <w:rsid w:val="00534B66"/>
    <w:rsid w:val="00552201"/>
    <w:rsid w:val="00560818"/>
    <w:rsid w:val="005A5C3E"/>
    <w:rsid w:val="005A6095"/>
    <w:rsid w:val="005B7B6D"/>
    <w:rsid w:val="005C52F7"/>
    <w:rsid w:val="005D4672"/>
    <w:rsid w:val="005D4F84"/>
    <w:rsid w:val="005E0C50"/>
    <w:rsid w:val="00633DCA"/>
    <w:rsid w:val="006371C3"/>
    <w:rsid w:val="0065412F"/>
    <w:rsid w:val="00657230"/>
    <w:rsid w:val="00673D98"/>
    <w:rsid w:val="006B2096"/>
    <w:rsid w:val="006B3D10"/>
    <w:rsid w:val="006D12AB"/>
    <w:rsid w:val="006D582A"/>
    <w:rsid w:val="00701414"/>
    <w:rsid w:val="0074670B"/>
    <w:rsid w:val="00747D2A"/>
    <w:rsid w:val="0077721A"/>
    <w:rsid w:val="008157B4"/>
    <w:rsid w:val="008413E4"/>
    <w:rsid w:val="008610FE"/>
    <w:rsid w:val="00861F05"/>
    <w:rsid w:val="0088629B"/>
    <w:rsid w:val="008E2D2E"/>
    <w:rsid w:val="008F2863"/>
    <w:rsid w:val="00904A39"/>
    <w:rsid w:val="009101FB"/>
    <w:rsid w:val="00914EB8"/>
    <w:rsid w:val="009216FA"/>
    <w:rsid w:val="00934971"/>
    <w:rsid w:val="009A0C70"/>
    <w:rsid w:val="009B3791"/>
    <w:rsid w:val="009C60D1"/>
    <w:rsid w:val="009E57FB"/>
    <w:rsid w:val="009F25CC"/>
    <w:rsid w:val="009F4B39"/>
    <w:rsid w:val="00A037DD"/>
    <w:rsid w:val="00A30029"/>
    <w:rsid w:val="00A428CE"/>
    <w:rsid w:val="00A54A9A"/>
    <w:rsid w:val="00A70DE5"/>
    <w:rsid w:val="00A920B6"/>
    <w:rsid w:val="00AF29B5"/>
    <w:rsid w:val="00AF7F58"/>
    <w:rsid w:val="00B22425"/>
    <w:rsid w:val="00B31020"/>
    <w:rsid w:val="00B5484C"/>
    <w:rsid w:val="00BE32D3"/>
    <w:rsid w:val="00BF3C3A"/>
    <w:rsid w:val="00C362AB"/>
    <w:rsid w:val="00C803CC"/>
    <w:rsid w:val="00CC5B23"/>
    <w:rsid w:val="00CC70E7"/>
    <w:rsid w:val="00D47FE2"/>
    <w:rsid w:val="00D72604"/>
    <w:rsid w:val="00D762D0"/>
    <w:rsid w:val="00DB2A5A"/>
    <w:rsid w:val="00DC177B"/>
    <w:rsid w:val="00E2796A"/>
    <w:rsid w:val="00E42C6B"/>
    <w:rsid w:val="00E968E7"/>
    <w:rsid w:val="00EC4DAD"/>
    <w:rsid w:val="00F00218"/>
    <w:rsid w:val="00F0632F"/>
    <w:rsid w:val="00F158AF"/>
    <w:rsid w:val="00F20D66"/>
    <w:rsid w:val="00F560FF"/>
    <w:rsid w:val="00F86966"/>
    <w:rsid w:val="00F9450A"/>
    <w:rsid w:val="00FC57FD"/>
    <w:rsid w:val="00FD2BEB"/>
    <w:rsid w:val="00FD55EA"/>
    <w:rsid w:val="0E17030F"/>
    <w:rsid w:val="2B525BAE"/>
    <w:rsid w:val="386058A9"/>
    <w:rsid w:val="697D57F2"/>
    <w:rsid w:val="6F052754"/>
    <w:rsid w:val="71BA6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widowControl/>
      <w:adjustRightInd w:val="0"/>
      <w:snapToGrid w:val="0"/>
      <w:spacing w:before="340" w:after="330" w:line="578" w:lineRule="auto"/>
      <w:jc w:val="left"/>
      <w:outlineLvl w:val="0"/>
    </w:pPr>
    <w:rPr>
      <w:rFonts w:ascii="Tahoma" w:hAnsi="Tahoma" w:eastAsia="微软雅黑"/>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spacing w:line="360" w:lineRule="auto"/>
      <w:ind w:firstLine="420"/>
      <w:jc w:val="left"/>
    </w:pPr>
    <w:rPr>
      <w:kern w:val="0"/>
      <w:sz w:val="20"/>
      <w:szCs w:val="20"/>
    </w:rPr>
  </w:style>
  <w:style w:type="paragraph" w:styleId="4">
    <w:name w:val="Body Text"/>
    <w:basedOn w:val="1"/>
    <w:qFormat/>
    <w:uiPriority w:val="99"/>
    <w:pPr>
      <w:spacing w:after="120"/>
    </w:pPr>
  </w:style>
  <w:style w:type="paragraph" w:styleId="5">
    <w:name w:val="Date"/>
    <w:basedOn w:val="1"/>
    <w:next w:val="1"/>
    <w:link w:val="16"/>
    <w:semiHidden/>
    <w:unhideWhenUsed/>
    <w:qFormat/>
    <w:uiPriority w:val="99"/>
    <w:pPr>
      <w:ind w:left="100" w:leftChars="2500"/>
    </w:pPr>
  </w:style>
  <w:style w:type="paragraph" w:styleId="6">
    <w:name w:val="footer"/>
    <w:basedOn w:val="1"/>
    <w:link w:val="12"/>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1"/>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First Indent"/>
    <w:basedOn w:val="4"/>
    <w:unhideWhenUsed/>
    <w:qFormat/>
    <w:uiPriority w:val="99"/>
    <w:pPr>
      <w:spacing w:line="360" w:lineRule="auto"/>
      <w:ind w:firstLine="420" w:firstLineChars="100"/>
    </w:pPr>
    <w:rPr>
      <w:szCs w:val="28"/>
    </w:rPr>
  </w:style>
  <w:style w:type="character" w:customStyle="1" w:styleId="11">
    <w:name w:val="页眉 字符"/>
    <w:basedOn w:val="10"/>
    <w:link w:val="7"/>
    <w:semiHidden/>
    <w:qFormat/>
    <w:uiPriority w:val="99"/>
    <w:rPr>
      <w:sz w:val="18"/>
      <w:szCs w:val="18"/>
    </w:rPr>
  </w:style>
  <w:style w:type="character" w:customStyle="1" w:styleId="12">
    <w:name w:val="页脚 字符"/>
    <w:basedOn w:val="10"/>
    <w:link w:val="6"/>
    <w:semiHidden/>
    <w:qFormat/>
    <w:uiPriority w:val="99"/>
    <w:rPr>
      <w:sz w:val="18"/>
      <w:szCs w:val="18"/>
    </w:rPr>
  </w:style>
  <w:style w:type="paragraph" w:customStyle="1" w:styleId="13">
    <w:name w:val="列出段落1"/>
    <w:basedOn w:val="1"/>
    <w:qFormat/>
    <w:uiPriority w:val="0"/>
    <w:pPr>
      <w:ind w:firstLine="420" w:firstLineChars="200"/>
    </w:pPr>
    <w:rPr>
      <w:rFonts w:ascii="Calibri" w:hAnsi="Calibri"/>
      <w:szCs w:val="22"/>
    </w:rPr>
  </w:style>
  <w:style w:type="character" w:customStyle="1" w:styleId="14">
    <w:name w:val="标题 1 字符"/>
    <w:basedOn w:val="10"/>
    <w:link w:val="2"/>
    <w:qFormat/>
    <w:uiPriority w:val="9"/>
    <w:rPr>
      <w:rFonts w:ascii="Tahoma" w:hAnsi="Tahoma" w:eastAsia="微软雅黑" w:cs="Times New Roman"/>
      <w:b/>
      <w:bCs/>
      <w:kern w:val="44"/>
      <w:sz w:val="44"/>
      <w:szCs w:val="44"/>
    </w:rPr>
  </w:style>
  <w:style w:type="paragraph" w:styleId="15">
    <w:name w:val="List Paragraph"/>
    <w:basedOn w:val="1"/>
    <w:qFormat/>
    <w:uiPriority w:val="34"/>
    <w:pPr>
      <w:ind w:firstLine="420" w:firstLineChars="200"/>
    </w:pPr>
    <w:rPr>
      <w:rFonts w:ascii="Calibri" w:hAnsi="Calibri" w:cs="Calibri"/>
      <w:sz w:val="32"/>
      <w:szCs w:val="21"/>
    </w:rPr>
  </w:style>
  <w:style w:type="character" w:customStyle="1" w:styleId="16">
    <w:name w:val="日期 字符"/>
    <w:basedOn w:val="10"/>
    <w:link w:val="5"/>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WORKGROUP</Company>
  <Pages>4</Pages>
  <Words>1818</Words>
  <Characters>1995</Characters>
  <Lines>62</Lines>
  <Paragraphs>45</Paragraphs>
  <TotalTime>11</TotalTime>
  <ScaleCrop>false</ScaleCrop>
  <LinksUpToDate>false</LinksUpToDate>
  <CharactersWithSpaces>2093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2023-11-16T11:02:00Z</dcterms:created>
  <dc:creator>邓欢</dc:creator>
  <cp:lastModifiedBy>博弈</cp:lastModifiedBy>
  <dcterms:modified xsi:type="dcterms:W3CDTF">2026-09-07T07:20:33Z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eyJoZGlkIjoiNDFjYmUwZjQ0YmRjN2Y4NThlNTAwZDQ2ZjYxZmQ3YmUiLCJ1c2VySWQiOiIxNjg5ODMzMzIxIn0=</vt:lpwstr>
  </property>
  <property fmtid="{D5CDD505-2E9C-101B-9397-08002B2CF9AE}" pid="3" name="KSOProductBuildVer">
    <vt:lpwstr>2052-12.1.0.28505</vt:lpwstr>
  </property>
  <property fmtid="{D5CDD505-2E9C-101B-9397-08002B2CF9AE}" pid="4" name="ICV">
    <vt:lpwstr>93E9A372C8214720B5BA33DB2C4D9CE8_12</vt:lpwstr>
  </property>
</Properties>
</file>