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万基铝钛合金1#2#熔炼炉、9#10#熔炼炉增加一对二炉内侧壁精炼装置项目</w:t>
      </w:r>
      <w:r>
        <w:rPr>
          <w:rFonts w:hint="eastAsia" w:ascii="仿宋" w:hAnsi="仿宋" w:eastAsia="仿宋" w:cs="仿宋"/>
          <w:sz w:val="32"/>
          <w:szCs w:val="32"/>
          <w:highlight w:val="none"/>
          <w:lang w:val="en-US" w:eastAsia="zh-CN"/>
        </w:rPr>
        <w:t>【招标编号：WJWZ-(2026)08010】进行公开招标，望拟投标单</w:t>
      </w:r>
      <w:r>
        <w:rPr>
          <w:rFonts w:hint="eastAsia" w:ascii="仿宋" w:hAnsi="仿宋" w:eastAsia="仿宋" w:cs="仿宋"/>
          <w:sz w:val="32"/>
          <w:szCs w:val="32"/>
          <w:lang w:val="en-US" w:eastAsia="zh-CN"/>
        </w:rPr>
        <w:t>位在规定时间内投标。投标人在本次投标中若发现违规违纪问题可直接向招标单位纪委举报，举报</w:t>
      </w:r>
      <w:r>
        <w:rPr>
          <w:rFonts w:hint="eastAsia" w:ascii="仿宋" w:hAnsi="仿宋" w:eastAsia="仿宋" w:cs="仿宋"/>
          <w:sz w:val="32"/>
          <w:szCs w:val="32"/>
          <w:highlight w:val="none"/>
          <w:lang w:val="en-US" w:eastAsia="zh-CN"/>
        </w:rPr>
        <w:t>电话：</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开标时间：2026年9月4日10:00（北京时间）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资质审验及报名截止时间：</w:t>
      </w:r>
      <w:r>
        <w:rPr>
          <w:rFonts w:hint="eastAsia" w:ascii="仿宋" w:hAnsi="仿宋" w:eastAsia="仿宋" w:cs="仿宋"/>
          <w:sz w:val="32"/>
          <w:szCs w:val="32"/>
          <w:highlight w:val="none"/>
          <w:lang w:val="en-US" w:eastAsia="zh-CN"/>
        </w:rPr>
        <w:t>2026年9月3日18时前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技术联系人：刘洪文 13598492242</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标的物：万基铝钛合金1#2#熔炼炉、9#10#熔炼炉增加一对二炉内侧壁精炼装置项目。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927F3C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3、最高投标限价：140万元（2套），报价超出限价不予评标。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p>
    <w:p w14:paraId="5D4A29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、资质要求：</w:t>
      </w:r>
    </w:p>
    <w:p w14:paraId="7F00DB8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1）卖方须具备独立法人资格，具有有效的营业执照。三体认证、高新企业、财务审计报告、注册资本(不低于200万)，四项要求最低符合其中一项。</w:t>
      </w:r>
    </w:p>
    <w:p w14:paraId="664E883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2）卖方须为本次项目设备的制造商，具有有效的安全生产许可证。</w:t>
      </w:r>
    </w:p>
    <w:p w14:paraId="4F6B9B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卖方需提供自2022年(以竣工验收时间为准)以来，铝加工行业一对二炉内侧壁自动精炼装置安装项目的相关业绩，应不低于五家。需提供合同首页、供货清单、盖章页等关键内容及竣工验收证明，否则视为无效业绩。</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各投标人请在万基官网招采平台上注册为合格供应商，审核通过后才能正常参与万基招标及合同签订等业务。注册供应商如有疑问请联系招标人，审核结果以最终通过万基控股集团供应商管理库准入为准。资质预审截止日</w:t>
      </w:r>
      <w:r>
        <w:rPr>
          <w:rFonts w:hint="eastAsia" w:ascii="仿宋" w:hAnsi="仿宋" w:eastAsia="仿宋" w:cs="仿宋"/>
          <w:b w:val="0"/>
          <w:bCs w:val="0"/>
          <w:color w:val="000000"/>
          <w:sz w:val="32"/>
          <w:szCs w:val="32"/>
          <w:highlight w:val="none"/>
          <w:lang w:val="en-US" w:eastAsia="zh-CN"/>
        </w:rPr>
        <w:t>期：</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2026年9月3日18时前，逾期</w:t>
      </w:r>
      <w:r>
        <w:rPr>
          <w:rFonts w:hint="eastAsia" w:ascii="仿宋" w:hAnsi="仿宋" w:eastAsia="仿宋" w:cs="仿宋"/>
          <w:b w:val="0"/>
          <w:bCs w:val="0"/>
          <w:color w:val="000000" w:themeColor="text1"/>
          <w:sz w:val="32"/>
          <w:szCs w:val="32"/>
          <w:lang w:val="en-US" w:eastAsia="zh-CN"/>
          <w14:textFill>
            <w14:solidFill>
              <w14:schemeClr w14:val="tx1"/>
            </w14:solidFill>
          </w14:textFill>
        </w:rPr>
        <w:t>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7、</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8、违约：认真阅读招标文件、合同条款、技术要求，参与投标即视同完全响应（差异表所列内容除外）。中标单位必须严格按照投标文件及投标报价单(价格、付款方式)签订合同及技术协议，否则即为违约；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w:t>
      </w:r>
      <w:r>
        <w:rPr>
          <w:rFonts w:hint="eastAsia" w:ascii="仿宋" w:hAnsi="仿宋" w:eastAsia="仿宋" w:cs="仿宋"/>
          <w:b/>
          <w:bCs/>
          <w:sz w:val="32"/>
          <w:szCs w:val="32"/>
          <w:lang w:val="en-US" w:eastAsia="zh-CN"/>
        </w:rPr>
        <w:t>质保、</w:t>
      </w:r>
      <w:r>
        <w:rPr>
          <w:rFonts w:hint="eastAsia" w:ascii="仿宋" w:hAnsi="仿宋" w:eastAsia="仿宋" w:cs="仿宋"/>
          <w:b/>
          <w:bCs/>
          <w:sz w:val="32"/>
          <w:szCs w:val="32"/>
        </w:rPr>
        <w:t>技术服务和设计联络部分</w:t>
      </w:r>
      <w:bookmarkStart w:id="6" w:name="_GoBack"/>
      <w:bookmarkEnd w:id="6"/>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及“2026年9月4日10时（北京时间）之前不得启封”字样。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同提交，并在封面上注明项目名称、投标人名字、“投标报价表”字样及“2026年9月4日10时（北京时间）之前不得启封”字样。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8"/>
                <w:szCs w:val="22"/>
              </w:rPr>
            </w:pPr>
            <w:r>
              <w:rPr>
                <w:rFonts w:hint="eastAsia" w:ascii="仿宋" w:hAnsi="仿宋" w:eastAsia="仿宋" w:cs="仿宋"/>
                <w:sz w:val="28"/>
                <w:szCs w:val="22"/>
              </w:rPr>
              <w:t>序号</w:t>
            </w:r>
          </w:p>
        </w:tc>
        <w:tc>
          <w:tcPr>
            <w:tcW w:w="1576" w:type="dxa"/>
            <w:noWrap w:val="0"/>
            <w:vAlign w:val="center"/>
          </w:tcPr>
          <w:p w14:paraId="0492555B">
            <w:pPr>
              <w:jc w:val="center"/>
              <w:rPr>
                <w:rFonts w:hint="eastAsia" w:ascii="仿宋" w:hAnsi="仿宋" w:eastAsia="仿宋" w:cs="仿宋"/>
                <w:sz w:val="28"/>
                <w:szCs w:val="22"/>
              </w:rPr>
            </w:pPr>
            <w:r>
              <w:rPr>
                <w:rFonts w:hint="eastAsia" w:ascii="仿宋" w:hAnsi="仿宋" w:eastAsia="仿宋" w:cs="仿宋"/>
                <w:sz w:val="28"/>
                <w:szCs w:val="22"/>
              </w:rPr>
              <w:t>评分因素</w:t>
            </w:r>
          </w:p>
        </w:tc>
        <w:tc>
          <w:tcPr>
            <w:tcW w:w="1200" w:type="dxa"/>
            <w:noWrap w:val="0"/>
            <w:vAlign w:val="center"/>
          </w:tcPr>
          <w:p w14:paraId="36B7EAEB">
            <w:pPr>
              <w:jc w:val="center"/>
              <w:rPr>
                <w:rFonts w:hint="eastAsia" w:ascii="仿宋" w:hAnsi="仿宋" w:eastAsia="仿宋" w:cs="仿宋"/>
                <w:sz w:val="28"/>
                <w:szCs w:val="22"/>
              </w:rPr>
            </w:pPr>
            <w:r>
              <w:rPr>
                <w:rFonts w:hint="eastAsia" w:ascii="仿宋" w:hAnsi="仿宋" w:eastAsia="仿宋" w:cs="仿宋"/>
                <w:sz w:val="28"/>
                <w:szCs w:val="22"/>
              </w:rPr>
              <w:t>标准分</w:t>
            </w:r>
          </w:p>
        </w:tc>
        <w:tc>
          <w:tcPr>
            <w:tcW w:w="4767" w:type="dxa"/>
            <w:noWrap w:val="0"/>
            <w:vAlign w:val="center"/>
          </w:tcPr>
          <w:p w14:paraId="152F407E">
            <w:pPr>
              <w:jc w:val="center"/>
              <w:rPr>
                <w:rFonts w:hint="eastAsia" w:ascii="仿宋" w:hAnsi="仿宋" w:eastAsia="仿宋" w:cs="仿宋"/>
                <w:sz w:val="28"/>
                <w:szCs w:val="22"/>
              </w:rPr>
            </w:pPr>
            <w:r>
              <w:rPr>
                <w:rFonts w:hint="eastAsia" w:ascii="仿宋" w:hAnsi="仿宋" w:eastAsia="仿宋" w:cs="仿宋"/>
                <w:sz w:val="28"/>
                <w:szCs w:val="22"/>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76" w:type="dxa"/>
            <w:noWrap w:val="0"/>
            <w:vAlign w:val="center"/>
          </w:tcPr>
          <w:p w14:paraId="784D9FC7">
            <w:pPr>
              <w:rPr>
                <w:rFonts w:hint="eastAsia" w:ascii="仿宋" w:hAnsi="仿宋" w:eastAsia="仿宋" w:cs="仿宋"/>
                <w:sz w:val="24"/>
                <w:szCs w:val="24"/>
              </w:rPr>
            </w:pPr>
            <w:r>
              <w:rPr>
                <w:rFonts w:hint="eastAsia" w:ascii="仿宋" w:hAnsi="仿宋" w:eastAsia="仿宋" w:cs="仿宋"/>
                <w:sz w:val="24"/>
                <w:szCs w:val="24"/>
              </w:rPr>
              <w:t>投标文件的完整性及响应情况（3分）</w:t>
            </w:r>
          </w:p>
        </w:tc>
        <w:tc>
          <w:tcPr>
            <w:tcW w:w="1200" w:type="dxa"/>
            <w:noWrap w:val="0"/>
            <w:vAlign w:val="center"/>
          </w:tcPr>
          <w:p w14:paraId="076EDEF7">
            <w:pPr>
              <w:jc w:val="center"/>
              <w:rPr>
                <w:rFonts w:hint="eastAsia" w:ascii="仿宋" w:hAnsi="仿宋" w:eastAsia="仿宋" w:cs="仿宋"/>
                <w:sz w:val="24"/>
                <w:szCs w:val="24"/>
              </w:rPr>
            </w:pPr>
            <w:r>
              <w:rPr>
                <w:rFonts w:hint="eastAsia" w:ascii="仿宋" w:hAnsi="仿宋" w:eastAsia="仿宋" w:cs="仿宋"/>
                <w:sz w:val="24"/>
                <w:szCs w:val="24"/>
              </w:rPr>
              <w:t>3</w:t>
            </w:r>
          </w:p>
        </w:tc>
        <w:tc>
          <w:tcPr>
            <w:tcW w:w="4767" w:type="dxa"/>
            <w:noWrap w:val="0"/>
            <w:vAlign w:val="center"/>
          </w:tcPr>
          <w:p w14:paraId="529E1AA7">
            <w:pPr>
              <w:rPr>
                <w:rFonts w:hint="eastAsia" w:ascii="仿宋" w:hAnsi="仿宋" w:eastAsia="仿宋" w:cs="仿宋"/>
                <w:sz w:val="24"/>
                <w:szCs w:val="24"/>
              </w:rPr>
            </w:pPr>
            <w:r>
              <w:rPr>
                <w:rFonts w:hint="eastAsia" w:ascii="仿宋" w:hAnsi="仿宋" w:eastAsia="仿宋" w:cs="仿宋"/>
                <w:sz w:val="24"/>
                <w:szCs w:val="24"/>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 w:val="24"/>
                <w:szCs w:val="24"/>
              </w:rPr>
            </w:pPr>
            <w:r>
              <w:rPr>
                <w:rFonts w:hint="eastAsia" w:ascii="仿宋" w:hAnsi="仿宋" w:eastAsia="仿宋" w:cs="仿宋"/>
                <w:sz w:val="24"/>
                <w:szCs w:val="24"/>
              </w:rPr>
              <w:t>2</w:t>
            </w:r>
          </w:p>
        </w:tc>
        <w:tc>
          <w:tcPr>
            <w:tcW w:w="1576" w:type="dxa"/>
            <w:noWrap w:val="0"/>
            <w:vAlign w:val="center"/>
          </w:tcPr>
          <w:p w14:paraId="6CC2918D">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投标单位财务状况（2分）</w:t>
            </w:r>
          </w:p>
        </w:tc>
        <w:tc>
          <w:tcPr>
            <w:tcW w:w="1200" w:type="dxa"/>
            <w:noWrap w:val="0"/>
            <w:vAlign w:val="center"/>
          </w:tcPr>
          <w:p w14:paraId="3E422E03">
            <w:pPr>
              <w:jc w:val="center"/>
              <w:rPr>
                <w:rFonts w:hint="eastAsia" w:ascii="仿宋" w:hAnsi="仿宋" w:eastAsia="仿宋" w:cs="仿宋"/>
                <w:sz w:val="24"/>
                <w:szCs w:val="24"/>
              </w:rPr>
            </w:pPr>
            <w:r>
              <w:rPr>
                <w:rFonts w:hint="eastAsia" w:ascii="仿宋" w:hAnsi="仿宋" w:eastAsia="仿宋" w:cs="仿宋"/>
                <w:sz w:val="24"/>
                <w:szCs w:val="22"/>
              </w:rPr>
              <w:t>2</w:t>
            </w:r>
          </w:p>
        </w:tc>
        <w:tc>
          <w:tcPr>
            <w:tcW w:w="4767" w:type="dxa"/>
            <w:noWrap w:val="0"/>
            <w:vAlign w:val="center"/>
          </w:tcPr>
          <w:p w14:paraId="52ECB394">
            <w:pPr>
              <w:rPr>
                <w:rFonts w:hint="eastAsia" w:ascii="仿宋" w:hAnsi="仿宋" w:eastAsia="仿宋" w:cs="仿宋"/>
                <w:sz w:val="24"/>
                <w:szCs w:val="22"/>
              </w:rPr>
            </w:pPr>
            <w:r>
              <w:rPr>
                <w:rFonts w:hint="eastAsia" w:ascii="仿宋" w:hAnsi="仿宋" w:eastAsia="仿宋" w:cs="仿宋"/>
                <w:sz w:val="24"/>
                <w:szCs w:val="22"/>
              </w:rPr>
              <w:t>按招标文件要求提供近3年经会计事务所审计的财务报表及审计报告得1分，否则不得分。</w:t>
            </w:r>
          </w:p>
          <w:p w14:paraId="09B676F7">
            <w:pPr>
              <w:rPr>
                <w:rFonts w:hint="eastAsia" w:ascii="仿宋" w:hAnsi="仿宋" w:eastAsia="仿宋" w:cs="仿宋"/>
                <w:sz w:val="24"/>
                <w:szCs w:val="22"/>
              </w:rPr>
            </w:pPr>
            <w:r>
              <w:rPr>
                <w:rFonts w:hint="eastAsia" w:ascii="仿宋" w:hAnsi="仿宋" w:eastAsia="仿宋" w:cs="仿宋"/>
                <w:sz w:val="24"/>
                <w:szCs w:val="24"/>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76" w:type="dxa"/>
            <w:noWrap w:val="0"/>
            <w:vAlign w:val="top"/>
          </w:tcPr>
          <w:p w14:paraId="3D6E2A73">
            <w:pPr>
              <w:rPr>
                <w:rFonts w:hint="eastAsia" w:ascii="仿宋" w:hAnsi="仿宋" w:eastAsia="仿宋" w:cs="仿宋"/>
                <w:sz w:val="24"/>
                <w:szCs w:val="24"/>
                <w:lang w:val="en-US" w:eastAsia="zh-CN"/>
              </w:rPr>
            </w:pPr>
          </w:p>
          <w:p w14:paraId="02744418">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综合生产能力（3分）</w:t>
            </w:r>
          </w:p>
        </w:tc>
        <w:tc>
          <w:tcPr>
            <w:tcW w:w="1200" w:type="dxa"/>
            <w:noWrap w:val="0"/>
            <w:vAlign w:val="center"/>
          </w:tcPr>
          <w:p w14:paraId="20F5E0E7">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4767" w:type="dxa"/>
            <w:noWrap w:val="0"/>
            <w:vAlign w:val="center"/>
          </w:tcPr>
          <w:p w14:paraId="549006C1">
            <w:pPr>
              <w:rPr>
                <w:rFonts w:hint="eastAsia" w:ascii="仿宋" w:hAnsi="仿宋" w:eastAsia="仿宋" w:cs="仿宋"/>
                <w:sz w:val="24"/>
                <w:szCs w:val="24"/>
              </w:rPr>
            </w:pPr>
            <w:r>
              <w:rPr>
                <w:rFonts w:hint="eastAsia" w:ascii="仿宋" w:hAnsi="仿宋" w:eastAsia="仿宋" w:cs="仿宋"/>
                <w:sz w:val="24"/>
                <w:szCs w:val="24"/>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576" w:type="dxa"/>
            <w:shd w:val="clear" w:color="auto" w:fill="auto"/>
            <w:noWrap w:val="0"/>
            <w:vAlign w:val="center"/>
          </w:tcPr>
          <w:p w14:paraId="21CDF4F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信用评价</w:t>
            </w:r>
          </w:p>
          <w:p w14:paraId="3C61EEBF">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5632BF1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商务部分偏差(</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1200" w:type="dxa"/>
            <w:shd w:val="clear" w:color="auto" w:fill="auto"/>
            <w:noWrap w:val="0"/>
            <w:vAlign w:val="center"/>
          </w:tcPr>
          <w:p w14:paraId="5205B8B8">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无商务偏差得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有偏差不得分</w:t>
            </w:r>
            <w:r>
              <w:rPr>
                <w:rFonts w:hint="eastAsia" w:ascii="仿宋" w:hAnsi="仿宋" w:eastAsia="仿宋" w:cs="仿宋"/>
                <w:sz w:val="24"/>
                <w:szCs w:val="24"/>
              </w:rPr>
              <w:t>。</w:t>
            </w:r>
          </w:p>
        </w:tc>
      </w:tr>
    </w:tbl>
    <w:p w14:paraId="254CF1DD">
      <w:pPr>
        <w:spacing w:before="285" w:beforeLines="75" w:after="285" w:afterLines="75"/>
        <w:ind w:firstLine="600" w:firstLineChars="200"/>
        <w:rPr>
          <w:rFonts w:hint="eastAsia" w:ascii="仿宋" w:hAnsi="仿宋" w:eastAsia="仿宋" w:cs="仿宋"/>
          <w:b w:val="0"/>
          <w:bCs w:val="0"/>
          <w:sz w:val="30"/>
          <w:szCs w:val="30"/>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评分因素</w:t>
            </w:r>
          </w:p>
        </w:tc>
        <w:tc>
          <w:tcPr>
            <w:tcW w:w="923" w:type="dxa"/>
            <w:noWrap w:val="0"/>
            <w:vAlign w:val="center"/>
          </w:tcPr>
          <w:p w14:paraId="41BB609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标准分</w:t>
            </w:r>
          </w:p>
        </w:tc>
        <w:tc>
          <w:tcPr>
            <w:tcW w:w="4323" w:type="dxa"/>
            <w:noWrap w:val="0"/>
            <w:vAlign w:val="center"/>
          </w:tcPr>
          <w:p w14:paraId="7CFA88A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基本功能</w:t>
            </w:r>
          </w:p>
        </w:tc>
        <w:tc>
          <w:tcPr>
            <w:tcW w:w="923" w:type="dxa"/>
            <w:noWrap w:val="0"/>
            <w:vAlign w:val="center"/>
          </w:tcPr>
          <w:p w14:paraId="39000FAC">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rPr>
              <w:t>完全满足：</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分；基本满足：1-</w:t>
            </w:r>
            <w:r>
              <w:rPr>
                <w:rFonts w:hint="eastAsia" w:ascii="仿宋" w:hAnsi="仿宋" w:eastAsia="仿宋" w:cs="仿宋"/>
                <w:snapToGrid w:val="0"/>
                <w:kern w:val="0"/>
                <w:sz w:val="24"/>
                <w:szCs w:val="24"/>
                <w:lang w:val="en-US" w:eastAsia="zh-CN"/>
              </w:rPr>
              <w:t>4</w:t>
            </w:r>
            <w:r>
              <w:rPr>
                <w:rFonts w:hint="eastAsia" w:ascii="仿宋" w:hAnsi="仿宋" w:eastAsia="仿宋" w:cs="仿宋"/>
                <w:snapToGrid w:val="0"/>
                <w:kern w:val="0"/>
                <w:sz w:val="24"/>
                <w:szCs w:val="24"/>
              </w:rPr>
              <w:t>分；不满足：</w:t>
            </w:r>
            <w:r>
              <w:rPr>
                <w:rFonts w:hint="eastAsia" w:ascii="仿宋" w:hAnsi="仿宋" w:eastAsia="仿宋" w:cs="仿宋"/>
                <w:snapToGrid w:val="0"/>
                <w:kern w:val="0"/>
                <w:sz w:val="24"/>
                <w:szCs w:val="24"/>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设计制作</w:t>
            </w:r>
          </w:p>
        </w:tc>
        <w:tc>
          <w:tcPr>
            <w:tcW w:w="923" w:type="dxa"/>
            <w:noWrap w:val="0"/>
            <w:vAlign w:val="center"/>
          </w:tcPr>
          <w:p w14:paraId="29B96578">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根据工艺及技术力量：1-</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2700" w:type="dxa"/>
            <w:noWrap w:val="0"/>
            <w:vAlign w:val="center"/>
          </w:tcPr>
          <w:p w14:paraId="46E168C8">
            <w:pPr>
              <w:suppressLineNumbers/>
              <w:suppressAutoHyphens/>
              <w:kinsoku w:val="0"/>
              <w:snapToGrid w:val="0"/>
              <w:ind w:firstLine="120" w:firstLineChars="5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rPr>
              <w:t>稳定性、可靠性等</w:t>
            </w:r>
          </w:p>
        </w:tc>
        <w:tc>
          <w:tcPr>
            <w:tcW w:w="923" w:type="dxa"/>
            <w:noWrap w:val="0"/>
            <w:vAlign w:val="center"/>
          </w:tcPr>
          <w:p w14:paraId="7AAC0B70">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根据投标方方案：</w:t>
            </w:r>
            <w:r>
              <w:rPr>
                <w:rFonts w:hint="eastAsia" w:ascii="仿宋" w:hAnsi="仿宋" w:eastAsia="仿宋" w:cs="仿宋"/>
                <w:snapToGrid w:val="0"/>
                <w:kern w:val="0"/>
                <w:sz w:val="24"/>
                <w:szCs w:val="24"/>
                <w:lang w:val="en-US" w:eastAsia="zh-CN"/>
              </w:rPr>
              <w:t>1</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综合技术水平及性能</w:t>
            </w:r>
          </w:p>
        </w:tc>
        <w:tc>
          <w:tcPr>
            <w:tcW w:w="923" w:type="dxa"/>
            <w:shd w:val="clear" w:color="auto" w:fill="auto"/>
            <w:noWrap w:val="0"/>
            <w:vAlign w:val="center"/>
          </w:tcPr>
          <w:p w14:paraId="1F3D17F8">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对工艺、技术、配置、性能等的可行性、先进性、专利等综合评价：</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3</w:t>
            </w:r>
            <w:r>
              <w:rPr>
                <w:rFonts w:hint="eastAsia" w:ascii="仿宋" w:hAnsi="仿宋" w:eastAsia="仿宋" w:cs="仿宋"/>
                <w:snapToGrid w:val="0"/>
                <w:kern w:val="0"/>
                <w:sz w:val="24"/>
                <w:szCs w:val="24"/>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安全</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rPr>
              <w:t>环保</w:t>
            </w:r>
          </w:p>
        </w:tc>
        <w:tc>
          <w:tcPr>
            <w:tcW w:w="923" w:type="dxa"/>
            <w:shd w:val="clear" w:color="auto" w:fill="auto"/>
            <w:noWrap w:val="0"/>
            <w:vAlign w:val="center"/>
          </w:tcPr>
          <w:p w14:paraId="12CC9414">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根据具体情况：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随机备品备件</w:t>
            </w:r>
          </w:p>
        </w:tc>
        <w:tc>
          <w:tcPr>
            <w:tcW w:w="923" w:type="dxa"/>
            <w:shd w:val="clear" w:color="auto" w:fill="auto"/>
            <w:noWrap w:val="0"/>
            <w:vAlign w:val="center"/>
          </w:tcPr>
          <w:p w14:paraId="5EE55CCB">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根据随机备品备件的提供情况：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68" w:leftChars="0" w:hanging="268" w:hangingChars="112"/>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eastAsia="zh-CN"/>
              </w:rPr>
              <w:t>依据投标人差异评分</w:t>
            </w:r>
            <w:r>
              <w:rPr>
                <w:rFonts w:hint="eastAsia" w:ascii="仿宋" w:hAnsi="仿宋" w:eastAsia="仿宋" w:cs="仿宋"/>
                <w:snapToGrid w:val="0"/>
                <w:kern w:val="0"/>
                <w:sz w:val="24"/>
                <w:szCs w:val="24"/>
              </w:rPr>
              <w:t>：0-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施工方案</w:t>
            </w:r>
          </w:p>
        </w:tc>
        <w:tc>
          <w:tcPr>
            <w:tcW w:w="923" w:type="dxa"/>
            <w:shd w:val="clear" w:color="auto" w:fill="auto"/>
            <w:noWrap w:val="0"/>
            <w:vAlign w:val="center"/>
          </w:tcPr>
          <w:p w14:paraId="6EB45DC0">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根据投标方方案：0-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售后服务</w:t>
            </w:r>
          </w:p>
        </w:tc>
        <w:tc>
          <w:tcPr>
            <w:tcW w:w="923" w:type="dxa"/>
            <w:shd w:val="clear" w:color="auto" w:fill="auto"/>
            <w:noWrap w:val="0"/>
            <w:vAlign w:val="center"/>
          </w:tcPr>
          <w:p w14:paraId="731A94EF">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机构、人员、计划、承诺等，0-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w:t>
      </w:r>
      <w:r>
        <w:rPr>
          <w:rFonts w:hint="eastAsia" w:ascii="仿宋" w:hAnsi="仿宋" w:eastAsia="仿宋"/>
          <w:sz w:val="30"/>
          <w:szCs w:val="30"/>
          <w:highlight w:val="none"/>
        </w:rPr>
        <w:t>间</w:t>
      </w:r>
      <w:r>
        <w:rPr>
          <w:rFonts w:hint="eastAsia" w:ascii="仿宋" w:hAnsi="仿宋" w:eastAsia="仿宋"/>
          <w:b w:val="0"/>
          <w:bCs w:val="0"/>
          <w:color w:val="000000" w:themeColor="text1"/>
          <w:sz w:val="30"/>
          <w:szCs w:val="30"/>
          <w:highlight w:val="none"/>
          <w14:textFill>
            <w14:solidFill>
              <w14:schemeClr w14:val="tx1"/>
            </w14:solidFill>
          </w14:textFill>
        </w:rPr>
        <w:t>：202</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6</w:t>
      </w:r>
      <w:r>
        <w:rPr>
          <w:rFonts w:hint="eastAsia" w:ascii="仿宋" w:hAnsi="仿宋" w:eastAsia="仿宋"/>
          <w:b w:val="0"/>
          <w:bCs w:val="0"/>
          <w:color w:val="000000" w:themeColor="text1"/>
          <w:sz w:val="30"/>
          <w:szCs w:val="30"/>
          <w:highlight w:val="none"/>
          <w14:textFill>
            <w14:solidFill>
              <w14:schemeClr w14:val="tx1"/>
            </w14:solidFill>
          </w14:textFill>
        </w:rPr>
        <w:t>年</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9</w:t>
      </w:r>
      <w:r>
        <w:rPr>
          <w:rFonts w:ascii="仿宋" w:hAnsi="仿宋" w:eastAsia="仿宋"/>
          <w:b w:val="0"/>
          <w:bCs w:val="0"/>
          <w:color w:val="000000" w:themeColor="text1"/>
          <w:sz w:val="30"/>
          <w:szCs w:val="30"/>
          <w:highlight w:val="none"/>
          <w14:textFill>
            <w14:solidFill>
              <w14:schemeClr w14:val="tx1"/>
            </w14:solidFill>
          </w14:textFill>
        </w:rPr>
        <w:t>月</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3</w:t>
      </w:r>
      <w:r>
        <w:rPr>
          <w:rFonts w:ascii="仿宋" w:hAnsi="仿宋" w:eastAsia="仿宋"/>
          <w:b w:val="0"/>
          <w:bCs w:val="0"/>
          <w:color w:val="000000" w:themeColor="text1"/>
          <w:sz w:val="30"/>
          <w:szCs w:val="30"/>
          <w:highlight w:val="none"/>
          <w14:textFill>
            <w14:solidFill>
              <w14:schemeClr w14:val="tx1"/>
            </w14:solidFill>
          </w14:textFill>
        </w:rPr>
        <w:t>日</w:t>
      </w:r>
      <w:r>
        <w:rPr>
          <w:rFonts w:hint="eastAsia" w:ascii="仿宋" w:hAnsi="仿宋" w:eastAsia="仿宋"/>
          <w:b w:val="0"/>
          <w:bCs w:val="0"/>
          <w:color w:val="000000" w:themeColor="text1"/>
          <w:sz w:val="30"/>
          <w:szCs w:val="30"/>
          <w:highlight w:val="none"/>
          <w14:textFill>
            <w14:solidFill>
              <w14:schemeClr w14:val="tx1"/>
            </w14:solidFill>
          </w14:textFill>
        </w:rPr>
        <w:t>1</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hint="eastAsia" w:ascii="仿宋" w:hAnsi="仿宋" w:eastAsia="仿宋"/>
          <w:b w:val="0"/>
          <w:bCs w:val="0"/>
          <w:color w:val="000000" w:themeColor="text1"/>
          <w:sz w:val="30"/>
          <w:szCs w:val="30"/>
          <w:highlight w:val="none"/>
          <w14:textFill>
            <w14:solidFill>
              <w14:schemeClr w14:val="tx1"/>
            </w14:solidFill>
          </w14:textFill>
        </w:rPr>
        <w:t>时（北京时</w:t>
      </w:r>
      <w:r>
        <w:rPr>
          <w:rFonts w:hint="eastAsia" w:ascii="仿宋" w:hAnsi="仿宋" w:eastAsia="仿宋"/>
          <w:b w:val="0"/>
          <w:bCs w:val="0"/>
          <w:color w:val="000000" w:themeColor="text1"/>
          <w:sz w:val="30"/>
          <w:szCs w:val="30"/>
          <w14:textFill>
            <w14:solidFill>
              <w14:schemeClr w14:val="tx1"/>
            </w14:solidFill>
          </w14:textFill>
        </w:rPr>
        <w:t>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备注好投标人名称+项目名称</w:t>
      </w:r>
      <w:r>
        <w:rPr>
          <w:rFonts w:hint="eastAsia" w:ascii="仿宋" w:hAnsi="仿宋" w:eastAsia="仿宋"/>
          <w:sz w:val="30"/>
          <w:szCs w:val="30"/>
        </w:rPr>
        <w:t>）。最终以洛阳万基铝钛合金新材料有限公司财务所开收到凭证为准。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单位名称：洛阳万基铝钛合金新材料有限公司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行：中原银行股份有限公司新安县支行</w:t>
      </w:r>
    </w:p>
    <w:p w14:paraId="58ED5C7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号：99008767859</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联系电话：0379-67333629</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万基铝钛合金1#2#熔炼炉、9#10#熔炼炉增加一对二炉内侧壁精炼装置项目</w:t>
      </w: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精炼装置</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2套</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w:t>
      </w:r>
      <w:r>
        <w:rPr>
          <w:rFonts w:hint="eastAsia" w:ascii="仿宋" w:hAnsi="仿宋" w:eastAsia="仿宋" w:cs="仿宋"/>
          <w:b w:val="0"/>
          <w:bCs w:val="0"/>
          <w:color w:val="auto"/>
          <w:sz w:val="30"/>
          <w:szCs w:val="30"/>
          <w:lang w:val="en-US" w:eastAsia="zh-CN"/>
        </w:rPr>
        <w:t>供货安装完毕</w:t>
      </w:r>
      <w:r>
        <w:rPr>
          <w:rFonts w:hint="eastAsia" w:ascii="仿宋" w:hAnsi="仿宋" w:eastAsia="仿宋" w:cs="仿宋"/>
          <w:b w:val="0"/>
          <w:bCs w:val="0"/>
          <w:color w:val="auto"/>
          <w:sz w:val="30"/>
          <w:szCs w:val="30"/>
          <w:u w:val="none"/>
          <w:lang w:val="en-US" w:eastAsia="zh-CN"/>
        </w:rPr>
        <w:t>；</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79C6D5A9">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货到安装验收合格，发票验收入账后90个工作日内付款90%，余10%质保金质保期满后支付。</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highlight w:val="yellow"/>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highlight w:val="none"/>
        </w:rPr>
        <w:t xml:space="preserve"> </w:t>
      </w:r>
      <w:r>
        <w:rPr>
          <w:rFonts w:hint="eastAsia" w:ascii="仿宋" w:hAnsi="仿宋" w:eastAsia="仿宋"/>
          <w:b w:val="0"/>
          <w:bCs w:val="0"/>
          <w:color w:val="auto"/>
          <w:sz w:val="30"/>
          <w:szCs w:val="30"/>
          <w:highlight w:val="none"/>
          <w:lang w:val="en-US" w:eastAsia="zh-CN"/>
        </w:rPr>
        <w:t>2026年9月4日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4197"/>
      <w:bookmarkStart w:id="1" w:name="_Toc118791624"/>
      <w:bookmarkStart w:id="2" w:name="_Toc184955372"/>
      <w:bookmarkStart w:id="3" w:name="_Toc184955855"/>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OLE_LINK2"/>
      <w:bookmarkStart w:id="5" w:name="_Toc363573174"/>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4344BDD1">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155BB"/>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8FD27A3"/>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34AA2"/>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6845B0E"/>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9F33BC7"/>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826F9"/>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BCF6E1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6873BD"/>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5403</Words>
  <Characters>5721</Characters>
  <Lines>97</Lines>
  <Paragraphs>27</Paragraphs>
  <TotalTime>71</TotalTime>
  <ScaleCrop>false</ScaleCrop>
  <LinksUpToDate>false</LinksUpToDate>
  <CharactersWithSpaces>6307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2026-08-27T00:21:12Z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