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万基控股集团有限公司招标办公室拟对宏远电</w:t>
      </w:r>
      <w:r>
        <w:rPr>
          <w:rFonts w:hint="eastAsia" w:ascii="仿宋" w:hAnsi="仿宋" w:eastAsia="仿宋" w:cs="Times New Roman"/>
          <w:sz w:val="28"/>
          <w:szCs w:val="28"/>
        </w:rPr>
        <w:t>力#2机组</w:t>
      </w:r>
      <w:bookmarkStart w:id="0" w:name="OLE_LINK4"/>
      <w:bookmarkStart w:id="1" w:name="OLE_LINK3"/>
      <w:r>
        <w:rPr>
          <w:rFonts w:hint="eastAsia" w:ascii="仿宋" w:hAnsi="仿宋" w:eastAsia="仿宋" w:cs="Times New Roman"/>
          <w:sz w:val="28"/>
          <w:szCs w:val="28"/>
        </w:rPr>
        <w:t>锅炉壁温系统</w:t>
      </w:r>
      <w:r>
        <w:rPr>
          <w:rFonts w:hint="eastAsia" w:ascii="仿宋" w:hAnsi="仿宋" w:eastAsia="仿宋"/>
          <w:sz w:val="28"/>
          <w:szCs w:val="28"/>
        </w:rPr>
        <w:t>升级</w:t>
      </w:r>
      <w:bookmarkEnd w:id="0"/>
      <w:bookmarkEnd w:id="1"/>
      <w:r>
        <w:rPr>
          <w:rFonts w:hint="eastAsia" w:ascii="仿宋" w:hAnsi="仿宋" w:eastAsia="仿宋"/>
          <w:sz w:val="28"/>
          <w:szCs w:val="28"/>
          <w:lang w:val="en-US" w:eastAsia="zh-CN"/>
        </w:rPr>
        <w:t>项目Ⅱ</w:t>
      </w:r>
      <w:r>
        <w:rPr>
          <w:rFonts w:hint="eastAsia" w:ascii="仿宋" w:hAnsi="仿宋" w:eastAsia="仿宋"/>
          <w:sz w:val="28"/>
          <w:szCs w:val="28"/>
        </w:rPr>
        <w:t>进行招标【招标编号：WJWZ-(2026)08003】</w:t>
      </w:r>
      <w:r>
        <w:rPr>
          <w:rFonts w:hint="eastAsia" w:ascii="仿宋" w:hAnsi="仿宋" w:eastAsia="仿宋"/>
          <w:sz w:val="28"/>
          <w:szCs w:val="28"/>
          <w:lang w:eastAsia="zh-CN"/>
        </w:rPr>
        <w:t>，</w:t>
      </w:r>
      <w:r>
        <w:rPr>
          <w:rFonts w:hint="eastAsia" w:ascii="仿宋" w:hAnsi="仿宋" w:eastAsia="仿宋"/>
          <w:sz w:val="28"/>
          <w:szCs w:val="28"/>
        </w:rPr>
        <w:t>有意参标单位请在</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10</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w:t>
      </w:r>
      <w:bookmarkStart w:id="131" w:name="_GoBack"/>
      <w:bookmarkEnd w:id="131"/>
      <w:r>
        <w:rPr>
          <w:rFonts w:hint="eastAsia" w:ascii="仿宋" w:hAnsi="仿宋" w:eastAsia="仿宋"/>
          <w:sz w:val="28"/>
          <w:szCs w:val="28"/>
        </w:rPr>
        <w:t>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11</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上午10:00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8</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10</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r>
        <w:rPr>
          <w:rFonts w:hint="eastAsia" w:ascii="仿宋" w:hAnsi="仿宋" w:eastAsia="仿宋"/>
          <w:sz w:val="28"/>
          <w:szCs w:val="28"/>
        </w:rPr>
        <w:t>技术：</w:t>
      </w:r>
      <w:r>
        <w:rPr>
          <w:rFonts w:hint="eastAsia" w:ascii="仿宋" w:hAnsi="仿宋" w:eastAsia="仿宋" w:cs="Times New Roman"/>
          <w:sz w:val="28"/>
          <w:szCs w:val="28"/>
          <w:lang w:val="en-US" w:eastAsia="zh-CN"/>
        </w:rPr>
        <w:t xml:space="preserve">柴阿吉  136 9380 5623 </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8C94725">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r>
        <w:rPr>
          <w:rFonts w:hint="eastAsia" w:ascii="仿宋" w:hAnsi="仿宋" w:eastAsia="仿宋"/>
          <w:b/>
          <w:bCs/>
          <w:color w:val="FF0000"/>
          <w:sz w:val="28"/>
          <w:szCs w:val="28"/>
        </w:rPr>
        <w:t>本次参与投标的单位须在万基招采平台上注册成合格准入供应商，注册成功后方可参与投标。</w:t>
      </w:r>
      <w:r>
        <w:rPr>
          <w:rFonts w:hint="eastAsia" w:ascii="仿宋" w:hAnsi="仿宋" w:eastAsia="仿宋"/>
          <w:b w:val="0"/>
          <w:bCs w:val="0"/>
          <w:color w:val="000000" w:themeColor="text1"/>
          <w:sz w:val="28"/>
          <w:szCs w:val="28"/>
          <w14:textFill>
            <w14:solidFill>
              <w14:schemeClr w14:val="tx1"/>
            </w14:solidFill>
          </w14:textFill>
        </w:rPr>
        <w:t>供应商准入审核联系人:</w:t>
      </w:r>
      <w:r>
        <w:rPr>
          <w:rFonts w:hint="eastAsia" w:ascii="仿宋" w:hAnsi="仿宋" w:eastAsia="仿宋"/>
          <w:b w:val="0"/>
          <w:bCs w:val="0"/>
          <w:color w:val="000000" w:themeColor="text1"/>
          <w:sz w:val="28"/>
          <w:szCs w:val="28"/>
          <w:lang w:val="en-US" w:eastAsia="zh-CN"/>
          <w14:textFill>
            <w14:solidFill>
              <w14:schemeClr w14:val="tx1"/>
            </w14:solidFill>
          </w14:textFill>
        </w:rPr>
        <w:t>吕国华</w:t>
      </w:r>
      <w:r>
        <w:rPr>
          <w:rFonts w:hint="eastAsia" w:ascii="仿宋" w:hAnsi="仿宋" w:eastAsia="仿宋"/>
          <w:b w:val="0"/>
          <w:bCs w:val="0"/>
          <w:color w:val="000000" w:themeColor="text1"/>
          <w:sz w:val="28"/>
          <w:szCs w:val="28"/>
          <w14:textFill>
            <w14:solidFill>
              <w14:schemeClr w14:val="tx1"/>
            </w14:solidFill>
          </w14:textFill>
        </w:rPr>
        <w:t>，联系电话:0379-67333</w:t>
      </w:r>
      <w:r>
        <w:rPr>
          <w:rFonts w:hint="eastAsia" w:ascii="仿宋" w:hAnsi="仿宋" w:eastAsia="仿宋"/>
          <w:b w:val="0"/>
          <w:bCs w:val="0"/>
          <w:color w:val="000000" w:themeColor="text1"/>
          <w:sz w:val="28"/>
          <w:szCs w:val="28"/>
          <w:lang w:val="en-US" w:eastAsia="zh-CN"/>
          <w14:textFill>
            <w14:solidFill>
              <w14:schemeClr w14:val="tx1"/>
            </w14:solidFill>
          </w14:textFill>
        </w:rPr>
        <w:t>516</w:t>
      </w:r>
      <w:r>
        <w:rPr>
          <w:rFonts w:hint="eastAsia" w:ascii="仿宋" w:hAnsi="仿宋" w:eastAsia="仿宋"/>
          <w:b w:val="0"/>
          <w:bCs w:val="0"/>
          <w:color w:val="000000" w:themeColor="text1"/>
          <w:sz w:val="28"/>
          <w:szCs w:val="28"/>
          <w14:textFill>
            <w14:solidFill>
              <w14:schemeClr w14:val="tx1"/>
            </w14:solidFill>
          </w14:textFill>
        </w:rPr>
        <w:t>。</w:t>
      </w:r>
      <w:r>
        <w:rPr>
          <w:rFonts w:hint="eastAsia" w:ascii="仿宋" w:hAnsi="仿宋" w:eastAsia="仿宋"/>
          <w:b w:val="0"/>
          <w:bCs w:val="0"/>
          <w:color w:val="000000" w:themeColor="text1"/>
          <w:sz w:val="28"/>
          <w:szCs w:val="28"/>
          <w:lang w:val="en-US" w:eastAsia="zh-CN"/>
          <w14:textFill>
            <w14:solidFill>
              <w14:schemeClr w14:val="tx1"/>
            </w14:solidFill>
          </w14:textFill>
        </w:rPr>
        <w:t xml:space="preserve"> </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06D3BCC2">
      <w:pPr>
        <w:spacing w:line="460" w:lineRule="exact"/>
        <w:ind w:left="412" w:firstLine="14" w:firstLineChars="5"/>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1）、投标单位为中华人民共和国境内合法注册的独立法人或其他组织，具有独立承担民事责任能力，具有独立订立合同的权利，应具有设计和生产制造及调试能力，须提供有效的证明文件、具有有效的营业执照、安全生产许可证、质量管理体系认证、环境管理体系认证、职业健康安全管理体系认证。</w:t>
      </w:r>
    </w:p>
    <w:p w14:paraId="29B07805">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投标人须取得环保专业承包二级资质或电力或机电施工总承包二级及以上资质。没有处于被责令停产、停业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 被列入“失信被执行人名单”(在评标期间尚未解除的)。</w:t>
      </w:r>
    </w:p>
    <w:p w14:paraId="1D0BBCA3">
      <w:pPr>
        <w:spacing w:line="460" w:lineRule="exact"/>
        <w:ind w:left="412" w:firstLine="14" w:firstLineChars="5"/>
        <w:rPr>
          <w:rFonts w:hint="default" w:ascii="仿宋" w:hAnsi="仿宋" w:eastAsia="仿宋" w:cs="Times New Roman"/>
          <w:b w:val="0"/>
          <w:kern w:val="2"/>
          <w:sz w:val="28"/>
          <w:szCs w:val="28"/>
          <w:lang w:val="en-US" w:eastAsia="zh-CN" w:bidi="ar-SA"/>
        </w:rPr>
      </w:pPr>
      <w:r>
        <w:rPr>
          <w:rFonts w:hint="eastAsia" w:ascii="仿宋" w:hAnsi="仿宋" w:eastAsia="仿宋" w:cs="Times New Roman"/>
          <w:b w:val="0"/>
          <w:kern w:val="2"/>
          <w:sz w:val="28"/>
          <w:szCs w:val="28"/>
          <w:lang w:val="en-US" w:eastAsia="zh-CN" w:bidi="ar-SA"/>
        </w:rPr>
        <w:t>3）、投标单位自2021年至今至少2台以上600MW机组锅炉壁温系统升级改造工程业绩或600MW锅炉B级检修业绩，并提供相关业绩证明材料，含合同复印件(首页、能反映服务范围、签字盖章页等)、用户证明、税票等。</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277838558</w:t>
      </w:r>
      <w:r>
        <w:rPr>
          <w:rFonts w:ascii="仿宋" w:hAnsi="仿宋" w:eastAsia="仿宋" w:cs="仿宋"/>
          <w:spacing w:val="-20"/>
          <w:sz w:val="28"/>
          <w:szCs w:val="28"/>
        </w:rPr>
        <w:t>@</w:t>
      </w:r>
      <w:r>
        <w:rPr>
          <w:rFonts w:hint="eastAsia" w:ascii="仿宋" w:hAnsi="仿宋" w:eastAsia="仿宋" w:cs="仿宋"/>
          <w:spacing w:val="-20"/>
          <w:sz w:val="28"/>
          <w:szCs w:val="28"/>
        </w:rPr>
        <w:t>qq</w:t>
      </w:r>
      <w:r>
        <w:rPr>
          <w:rFonts w:ascii="仿宋" w:hAnsi="仿宋" w:eastAsia="仿宋" w:cs="仿宋"/>
          <w:spacing w:val="-20"/>
          <w:sz w:val="28"/>
          <w:szCs w:val="28"/>
        </w:rPr>
        <w:t>.com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贰万元整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20000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11</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11</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2E0C8A20">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245B357A">
      <w:pPr>
        <w:spacing w:line="460" w:lineRule="exact"/>
        <w:ind w:firstLine="708" w:firstLineChars="253"/>
        <w:rPr>
          <w:rFonts w:ascii="仿宋" w:hAnsi="仿宋" w:eastAsia="仿宋"/>
          <w:sz w:val="28"/>
          <w:szCs w:val="28"/>
        </w:rPr>
      </w:pPr>
      <w:r>
        <w:rPr>
          <w:rFonts w:hint="eastAsia" w:ascii="仿宋" w:hAnsi="仿宋" w:eastAsia="仿宋"/>
          <w:sz w:val="28"/>
          <w:szCs w:val="28"/>
        </w:rPr>
        <w:t>5.2.4  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739E98DD">
      <w:pPr>
        <w:spacing w:line="460" w:lineRule="exact"/>
        <w:ind w:firstLine="560" w:firstLineChars="200"/>
        <w:rPr>
          <w:rFonts w:hint="eastAsia" w:ascii="仿宋" w:hAnsi="仿宋" w:eastAsia="仿宋"/>
          <w:sz w:val="28"/>
          <w:szCs w:val="28"/>
        </w:rPr>
      </w:pPr>
    </w:p>
    <w:p w14:paraId="64548814">
      <w:pPr>
        <w:spacing w:line="460" w:lineRule="exact"/>
        <w:ind w:firstLine="560" w:firstLineChars="200"/>
        <w:rPr>
          <w:rFonts w:hint="eastAsia" w:ascii="仿宋" w:hAnsi="仿宋" w:eastAsia="仿宋"/>
          <w:sz w:val="28"/>
          <w:szCs w:val="28"/>
        </w:rPr>
      </w:pPr>
    </w:p>
    <w:p w14:paraId="3FEB684E">
      <w:pPr>
        <w:spacing w:line="460" w:lineRule="exact"/>
        <w:ind w:firstLine="560" w:firstLineChars="200"/>
        <w:rPr>
          <w:rFonts w:hint="eastAsia" w:ascii="仿宋" w:hAnsi="仿宋" w:eastAsia="仿宋"/>
          <w:sz w:val="28"/>
          <w:szCs w:val="28"/>
        </w:rPr>
      </w:pP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5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ascii="仿宋" w:hAnsi="仿宋" w:eastAsia="仿宋"/>
                <w:sz w:val="18"/>
                <w:szCs w:val="18"/>
              </w:rPr>
              <w:t>2</w:t>
            </w:r>
            <w:r>
              <w:rPr>
                <w:rFonts w:hint="eastAsia" w:ascii="仿宋" w:hAnsi="仿宋" w:eastAsia="仿宋"/>
                <w:sz w:val="18"/>
                <w:szCs w:val="18"/>
              </w:rPr>
              <w:t>年度、202</w:t>
            </w:r>
            <w:r>
              <w:rPr>
                <w:rFonts w:ascii="仿宋" w:hAnsi="仿宋" w:eastAsia="仿宋"/>
                <w:sz w:val="18"/>
                <w:szCs w:val="18"/>
              </w:rPr>
              <w:t>3</w:t>
            </w:r>
            <w:r>
              <w:rPr>
                <w:rFonts w:hint="eastAsia" w:ascii="仿宋" w:hAnsi="仿宋" w:eastAsia="仿宋"/>
                <w:sz w:val="18"/>
                <w:szCs w:val="18"/>
              </w:rPr>
              <w:t>年度、202</w:t>
            </w:r>
            <w:r>
              <w:rPr>
                <w:rFonts w:ascii="仿宋" w:hAnsi="仿宋" w:eastAsia="仿宋"/>
                <w:sz w:val="18"/>
                <w:szCs w:val="18"/>
              </w:rPr>
              <w:t>4</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2</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4"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5"/>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1490028A">
      <w:pPr>
        <w:spacing w:line="460" w:lineRule="exact"/>
        <w:ind w:firstLine="560" w:firstLineChars="200"/>
        <w:rPr>
          <w:rFonts w:hint="eastAsia" w:ascii="仿宋" w:hAnsi="仿宋" w:eastAsia="仿宋"/>
          <w:sz w:val="28"/>
          <w:szCs w:val="28"/>
        </w:rPr>
      </w:pPr>
    </w:p>
    <w:p w14:paraId="30B06887">
      <w:pPr>
        <w:spacing w:line="460" w:lineRule="exact"/>
        <w:ind w:firstLine="560" w:firstLineChars="200"/>
        <w:rPr>
          <w:rFonts w:hint="eastAsia" w:ascii="仿宋" w:hAnsi="仿宋" w:eastAsia="仿宋"/>
          <w:sz w:val="28"/>
          <w:szCs w:val="28"/>
        </w:rPr>
      </w:pPr>
    </w:p>
    <w:p w14:paraId="4094093F">
      <w:pPr>
        <w:spacing w:line="460" w:lineRule="exact"/>
        <w:ind w:firstLine="560" w:firstLineChars="200"/>
        <w:rPr>
          <w:rFonts w:hint="eastAsia" w:ascii="仿宋" w:hAnsi="仿宋" w:eastAsia="仿宋"/>
          <w:sz w:val="28"/>
          <w:szCs w:val="28"/>
        </w:rPr>
      </w:pPr>
    </w:p>
    <w:p w14:paraId="27CAD756">
      <w:pPr>
        <w:spacing w:line="460" w:lineRule="exact"/>
        <w:ind w:firstLine="560" w:firstLineChars="200"/>
        <w:rPr>
          <w:rFonts w:hint="eastAsia" w:ascii="仿宋" w:hAnsi="仿宋" w:eastAsia="仿宋"/>
          <w:sz w:val="28"/>
          <w:szCs w:val="28"/>
        </w:rPr>
      </w:pPr>
    </w:p>
    <w:p w14:paraId="37250E68">
      <w:pPr>
        <w:spacing w:line="460" w:lineRule="exact"/>
        <w:ind w:firstLine="560" w:firstLineChars="200"/>
        <w:rPr>
          <w:rFonts w:hint="eastAsia" w:ascii="仿宋" w:hAnsi="仿宋" w:eastAsia="仿宋"/>
          <w:sz w:val="28"/>
          <w:szCs w:val="28"/>
        </w:rPr>
      </w:pPr>
    </w:p>
    <w:p w14:paraId="531C783B">
      <w:pPr>
        <w:spacing w:line="460" w:lineRule="exact"/>
        <w:ind w:firstLine="560" w:firstLineChars="200"/>
        <w:rPr>
          <w:rFonts w:hint="eastAsia" w:ascii="仿宋" w:hAnsi="仿宋" w:eastAsia="仿宋"/>
          <w:sz w:val="28"/>
          <w:szCs w:val="28"/>
        </w:rPr>
      </w:pPr>
    </w:p>
    <w:p w14:paraId="31A5D317">
      <w:pPr>
        <w:spacing w:line="460" w:lineRule="exact"/>
        <w:rPr>
          <w:rFonts w:hint="eastAsia" w:ascii="仿宋" w:hAnsi="仿宋" w:eastAsia="仿宋"/>
          <w:sz w:val="28"/>
          <w:szCs w:val="28"/>
        </w:rPr>
      </w:pPr>
    </w:p>
    <w:p w14:paraId="1E28780F">
      <w:pPr>
        <w:spacing w:line="460" w:lineRule="exact"/>
        <w:ind w:firstLine="560" w:firstLineChars="200"/>
        <w:rPr>
          <w:rFonts w:hint="eastAsia"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3373" w:firstLineChars="16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58"/>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7"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6"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72046101">
            <w:pPr>
              <w:rPr>
                <w:rFonts w:ascii="仿宋" w:hAnsi="仿宋" w:eastAsia="仿宋" w:cs="仿宋"/>
                <w:snapToGrid w:val="0"/>
                <w:kern w:val="0"/>
                <w:sz w:val="18"/>
                <w:szCs w:val="18"/>
              </w:rPr>
            </w:pPr>
            <w:r>
              <w:rPr>
                <w:rFonts w:hint="eastAsia" w:ascii="仿宋" w:hAnsi="仿宋" w:eastAsia="仿宋"/>
                <w:sz w:val="18"/>
                <w:szCs w:val="18"/>
              </w:rPr>
              <w:t>近</w:t>
            </w:r>
            <w:r>
              <w:rPr>
                <w:rFonts w:hint="eastAsia" w:ascii="仿宋" w:hAnsi="仿宋" w:eastAsia="仿宋"/>
                <w:sz w:val="18"/>
                <w:szCs w:val="18"/>
                <w:lang w:val="en-US" w:eastAsia="zh-CN"/>
              </w:rPr>
              <w:t>五</w:t>
            </w:r>
            <w:r>
              <w:rPr>
                <w:rFonts w:hint="eastAsia" w:ascii="仿宋" w:hAnsi="仿宋" w:eastAsia="仿宋"/>
                <w:sz w:val="18"/>
                <w:szCs w:val="18"/>
              </w:rPr>
              <w:t>年</w:t>
            </w:r>
            <w:r>
              <w:rPr>
                <w:rFonts w:hint="eastAsia" w:ascii="仿宋" w:hAnsi="仿宋" w:eastAsia="仿宋" w:cs="Times New Roman"/>
                <w:sz w:val="18"/>
                <w:szCs w:val="18"/>
              </w:rPr>
              <w:t>至少2台以上600MW机组锅炉壁温系统升级改造工程业绩</w:t>
            </w:r>
            <w:r>
              <w:rPr>
                <w:rFonts w:hint="eastAsia" w:ascii="仿宋" w:hAnsi="仿宋" w:eastAsia="仿宋" w:cs="Times New Roman"/>
                <w:sz w:val="18"/>
                <w:szCs w:val="18"/>
                <w:lang w:val="en-US" w:eastAsia="zh-CN"/>
              </w:rPr>
              <w:t>或600MW锅炉B级检修业绩</w:t>
            </w:r>
            <w:r>
              <w:rPr>
                <w:rFonts w:hint="eastAsia" w:ascii="仿宋" w:hAnsi="仿宋" w:eastAsia="仿宋" w:cs="Times New Roman"/>
                <w:sz w:val="18"/>
                <w:szCs w:val="18"/>
              </w:rPr>
              <w:t>，</w:t>
            </w:r>
            <w:r>
              <w:rPr>
                <w:rFonts w:hint="eastAsia" w:ascii="仿宋" w:hAnsi="仿宋" w:eastAsia="仿宋" w:cs="Times New Roman"/>
                <w:sz w:val="18"/>
                <w:szCs w:val="18"/>
                <w:lang w:val="en-US" w:eastAsia="zh-CN"/>
              </w:rPr>
              <w:t>2</w:t>
            </w:r>
            <w:r>
              <w:rPr>
                <w:rFonts w:hint="eastAsia" w:ascii="仿宋" w:hAnsi="仿宋" w:eastAsia="仿宋"/>
                <w:sz w:val="18"/>
                <w:szCs w:val="18"/>
                <w:lang w:val="en-US" w:eastAsia="zh-CN"/>
              </w:rPr>
              <w:t>份</w:t>
            </w:r>
            <w:r>
              <w:rPr>
                <w:rFonts w:hint="eastAsia" w:ascii="仿宋" w:hAnsi="仿宋" w:eastAsia="仿宋"/>
                <w:sz w:val="18"/>
                <w:szCs w:val="18"/>
              </w:rPr>
              <w:t>得0分，每增加1个得1分，最高得</w:t>
            </w:r>
            <w:r>
              <w:rPr>
                <w:rFonts w:hint="eastAsia" w:ascii="仿宋" w:hAnsi="仿宋" w:eastAsia="仿宋"/>
                <w:sz w:val="18"/>
                <w:szCs w:val="18"/>
                <w:lang w:val="en-US" w:eastAsia="zh-CN"/>
              </w:rPr>
              <w:t>5</w:t>
            </w:r>
            <w:r>
              <w:rPr>
                <w:rFonts w:hint="eastAsia" w:ascii="仿宋" w:hAnsi="仿宋" w:eastAsia="仿宋"/>
                <w:sz w:val="18"/>
                <w:szCs w:val="18"/>
              </w:rPr>
              <w:t>分。</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9"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3"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7"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2B11ECD0">
      <w:pPr>
        <w:spacing w:line="460" w:lineRule="exact"/>
        <w:rPr>
          <w:rFonts w:hint="eastAsia" w:ascii="仿宋" w:hAnsi="仿宋" w:eastAsia="仿宋"/>
          <w:sz w:val="28"/>
          <w:szCs w:val="28"/>
        </w:rPr>
      </w:pPr>
      <w:r>
        <w:rPr>
          <w:rFonts w:hint="eastAsia" w:ascii="仿宋" w:hAnsi="仿宋" w:eastAsia="仿宋"/>
          <w:sz w:val="28"/>
          <w:szCs w:val="28"/>
        </w:rPr>
        <w:t xml:space="preserve"> </w:t>
      </w:r>
    </w:p>
    <w:p w14:paraId="62CA68E0">
      <w:pPr>
        <w:spacing w:line="460" w:lineRule="exact"/>
        <w:rPr>
          <w:rFonts w:hint="eastAsia" w:ascii="仿宋" w:hAnsi="仿宋" w:eastAsia="仿宋"/>
          <w:sz w:val="28"/>
          <w:szCs w:val="28"/>
        </w:rPr>
      </w:pPr>
    </w:p>
    <w:p w14:paraId="5CD7B1C6">
      <w:pPr>
        <w:spacing w:line="460" w:lineRule="exact"/>
        <w:rPr>
          <w:rFonts w:hint="eastAsia" w:ascii="仿宋" w:hAnsi="仿宋" w:eastAsia="仿宋"/>
          <w:sz w:val="28"/>
          <w:szCs w:val="28"/>
        </w:rPr>
      </w:pPr>
    </w:p>
    <w:p w14:paraId="67DF5468">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四、授予合同</w:t>
      </w:r>
      <w:r>
        <w:rPr>
          <w:rFonts w:hint="eastAsia" w:ascii="仿宋" w:hAnsi="仿宋" w:eastAsia="仿宋"/>
          <w:b/>
          <w:bCs/>
          <w:sz w:val="28"/>
          <w:szCs w:val="28"/>
          <w:lang w:eastAsia="zh-CN"/>
        </w:rPr>
        <w:t>：</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w:t>
      </w:r>
      <w:r>
        <w:rPr>
          <w:rFonts w:hint="eastAsia" w:ascii="仿宋" w:hAnsi="仿宋" w:eastAsia="仿宋"/>
          <w:sz w:val="28"/>
          <w:szCs w:val="28"/>
          <w:lang w:val="en-US" w:eastAsia="zh-CN"/>
        </w:rPr>
        <w:t xml:space="preserve">  </w:t>
      </w:r>
      <w:r>
        <w:rPr>
          <w:rFonts w:hint="eastAsia" w:ascii="仿宋" w:hAnsi="仿宋" w:eastAsia="仿宋"/>
          <w:sz w:val="28"/>
          <w:szCs w:val="28"/>
        </w:rPr>
        <w:t>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4E46BD98">
      <w:pPr>
        <w:spacing w:line="460" w:lineRule="exact"/>
        <w:ind w:firstLine="560" w:firstLineChars="200"/>
        <w:rPr>
          <w:rFonts w:hint="eastAsia" w:ascii="仿宋" w:hAnsi="仿宋" w:eastAsia="仿宋"/>
          <w:b/>
          <w:bCs/>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投标保证金（人民币：贰万元整     </w:t>
      </w:r>
      <w:r>
        <w:rPr>
          <w:rFonts w:hint="eastAsia" w:ascii="仿宋" w:hAnsi="仿宋" w:eastAsia="仿宋" w:cs="仿宋"/>
          <w:sz w:val="28"/>
          <w:szCs w:val="28"/>
        </w:rPr>
        <w:t>￥200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10</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w:t>
      </w:r>
      <w:r>
        <w:rPr>
          <w:rFonts w:hint="eastAsia" w:ascii="仿宋" w:hAnsi="仿宋" w:eastAsia="仿宋"/>
          <w:sz w:val="28"/>
          <w:szCs w:val="28"/>
          <w:lang w:eastAsia="zh-CN"/>
        </w:rPr>
        <w:t>。</w:t>
      </w:r>
      <w:r>
        <w:rPr>
          <w:rFonts w:hint="eastAsia" w:ascii="仿宋" w:hAnsi="仿宋" w:eastAsia="仿宋"/>
          <w:sz w:val="28"/>
          <w:szCs w:val="28"/>
        </w:rPr>
        <w:t>公对公电汇转账方式缴纳（不接受现金及个人转账）。最终以洛阳万基宏远电力有限公司财务所开收到凭证为准。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3006886F">
      <w:pPr>
        <w:spacing w:line="700" w:lineRule="exact"/>
        <w:rPr>
          <w:rFonts w:hint="eastAsia" w:ascii="仿宋" w:hAnsi="仿宋" w:eastAsia="仿宋"/>
          <w:sz w:val="28"/>
          <w:szCs w:val="24"/>
        </w:rPr>
      </w:pPr>
    </w:p>
    <w:p w14:paraId="38ED5D6D">
      <w:pPr>
        <w:spacing w:line="700" w:lineRule="exact"/>
        <w:rPr>
          <w:rFonts w:hint="eastAsia" w:ascii="仿宋" w:hAnsi="仿宋" w:eastAsia="仿宋"/>
          <w:sz w:val="28"/>
          <w:szCs w:val="24"/>
        </w:rPr>
      </w:pPr>
    </w:p>
    <w:p w14:paraId="2D5DBAB6">
      <w:pPr>
        <w:spacing w:line="700" w:lineRule="exact"/>
        <w:rPr>
          <w:rFonts w:hint="eastAsia" w:ascii="仿宋" w:hAnsi="仿宋" w:eastAsia="仿宋"/>
          <w:sz w:val="28"/>
          <w:szCs w:val="24"/>
        </w:rPr>
      </w:pPr>
    </w:p>
    <w:p w14:paraId="3291EAC5">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5B0ACE96">
      <w:pPr>
        <w:spacing w:line="700" w:lineRule="exact"/>
        <w:rPr>
          <w:rFonts w:hint="eastAsia" w:ascii="仿宋" w:hAnsi="仿宋" w:eastAsia="仿宋"/>
          <w:sz w:val="28"/>
          <w:szCs w:val="24"/>
        </w:rPr>
      </w:pPr>
    </w:p>
    <w:p w14:paraId="6A6FE75F">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670D5C9C">
      <w:pPr>
        <w:spacing w:line="700" w:lineRule="exact"/>
        <w:rPr>
          <w:rFonts w:hint="eastAsia" w:ascii="仿宋" w:hAnsi="仿宋" w:eastAsia="仿宋"/>
          <w:sz w:val="28"/>
          <w:szCs w:val="24"/>
        </w:rPr>
      </w:pPr>
    </w:p>
    <w:p w14:paraId="1362698B">
      <w:pPr>
        <w:spacing w:line="700" w:lineRule="exact"/>
        <w:rPr>
          <w:rFonts w:hint="eastAsia" w:ascii="仿宋" w:hAnsi="仿宋" w:eastAsia="仿宋"/>
          <w:sz w:val="28"/>
          <w:szCs w:val="24"/>
        </w:rPr>
      </w:pPr>
    </w:p>
    <w:p w14:paraId="6EF12E62">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4"/>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4"/>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4"/>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6981EC5D">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0FA2847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68C2F1C7">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50E7EF31">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13B31513">
      <w:pPr>
        <w:tabs>
          <w:tab w:val="left" w:pos="630"/>
          <w:tab w:val="left" w:pos="7560"/>
        </w:tabs>
        <w:spacing w:line="360" w:lineRule="auto"/>
        <w:rPr>
          <w:rFonts w:hint="eastAsia" w:ascii="仿宋" w:hAnsi="仿宋" w:eastAsia="仿宋"/>
          <w:sz w:val="28"/>
          <w:szCs w:val="28"/>
        </w:rPr>
      </w:pPr>
    </w:p>
    <w:p w14:paraId="0CD0D10E">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宏远电力#2机组锅炉壁温系统升级项目报价单</w:t>
      </w:r>
    </w:p>
    <w:p w14:paraId="3D48B864">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7647EF18">
            <w:pPr>
              <w:widowControl w:val="0"/>
              <w:snapToGrid/>
              <w:spacing w:after="0" w:line="360" w:lineRule="auto"/>
              <w:jc w:val="center"/>
              <w:textAlignment w:val="baseline"/>
              <w:rPr>
                <w:rFonts w:hint="default" w:ascii="宋体" w:hAnsi="Times New Roman" w:eastAsia="宋体" w:cs="Times New Roman"/>
                <w:b/>
                <w:color w:val="auto"/>
                <w:sz w:val="44"/>
                <w:szCs w:val="44"/>
                <w:highlight w:val="none"/>
                <w:lang w:val="en-US"/>
              </w:rPr>
            </w:pPr>
            <w:r>
              <w:rPr>
                <w:rFonts w:hint="eastAsia" w:ascii="仿宋" w:hAnsi="仿宋" w:eastAsia="仿宋" w:cs="仿宋"/>
                <w:i w:val="0"/>
                <w:color w:val="000000"/>
                <w:kern w:val="0"/>
                <w:sz w:val="24"/>
                <w:szCs w:val="24"/>
                <w:u w:val="none"/>
                <w:lang w:val="en-US" w:eastAsia="zh-CN" w:bidi="ar"/>
              </w:rPr>
              <w:t>宏远电力#2机组锅炉壁温系统升级项目</w:t>
            </w:r>
          </w:p>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28955B35">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3F95AC53">
      <w:pPr>
        <w:pStyle w:val="6"/>
        <w:numPr>
          <w:ilvl w:val="3"/>
          <w:numId w:val="0"/>
        </w:numPr>
        <w:ind w:left="1260" w:leftChars="0"/>
      </w:pPr>
    </w:p>
    <w:p w14:paraId="1FA2B32C"/>
    <w:p w14:paraId="0D2288AE">
      <w:pPr>
        <w:spacing w:line="560" w:lineRule="exact"/>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w:t>
      </w:r>
      <w:r>
        <w:rPr>
          <w:rFonts w:hint="eastAsia" w:ascii="仿宋_GB2312" w:hAnsi="仿宋" w:eastAsia="仿宋_GB2312" w:cs="宋体"/>
          <w:color w:val="000000"/>
          <w:sz w:val="32"/>
          <w:szCs w:val="32"/>
          <w:lang w:val="en-US" w:eastAsia="zh-CN"/>
        </w:rPr>
        <w:t>6</w:t>
      </w:r>
      <w:r>
        <w:rPr>
          <w:rFonts w:hint="eastAsia" w:ascii="仿宋_GB2312" w:hAnsi="仿宋" w:eastAsia="仿宋_GB2312" w:cs="宋体"/>
          <w:color w:val="000000"/>
          <w:sz w:val="32"/>
          <w:szCs w:val="32"/>
        </w:rPr>
        <w:t>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7D130A48">
      <w:pPr>
        <w:tabs>
          <w:tab w:val="left" w:pos="8280"/>
        </w:tabs>
        <w:spacing w:line="500" w:lineRule="exact"/>
        <w:rPr>
          <w:rFonts w:ascii="仿宋_GB2312" w:hAnsi="仿宋" w:eastAsia="仿宋_GB2312"/>
          <w:bCs/>
          <w:color w:val="000000"/>
          <w:sz w:val="28"/>
          <w:szCs w:val="28"/>
        </w:rPr>
      </w:pPr>
    </w:p>
    <w:p w14:paraId="5715B39E">
      <w:pPr>
        <w:tabs>
          <w:tab w:val="left" w:pos="8280"/>
        </w:tabs>
        <w:spacing w:line="460" w:lineRule="exact"/>
        <w:ind w:firstLine="560" w:firstLineChars="200"/>
        <w:rPr>
          <w:rFonts w:hint="eastAsia" w:ascii="仿宋_GB2312" w:hAnsi="仿宋" w:eastAsia="仿宋_GB2312"/>
          <w:bCs/>
          <w:color w:val="000000"/>
          <w:sz w:val="28"/>
          <w:szCs w:val="28"/>
        </w:rPr>
      </w:pPr>
    </w:p>
    <w:p w14:paraId="514CEE04">
      <w:pPr>
        <w:tabs>
          <w:tab w:val="left" w:pos="8280"/>
        </w:tabs>
        <w:spacing w:line="460" w:lineRule="exact"/>
        <w:ind w:firstLine="560" w:firstLineChars="200"/>
        <w:rPr>
          <w:rFonts w:hint="eastAsia" w:ascii="仿宋_GB2312" w:hAnsi="仿宋" w:eastAsia="仿宋_GB2312"/>
          <w:bCs/>
          <w:color w:val="000000"/>
          <w:sz w:val="28"/>
          <w:szCs w:val="28"/>
        </w:rPr>
      </w:pPr>
    </w:p>
    <w:p w14:paraId="28EBBDF3">
      <w:pPr>
        <w:tabs>
          <w:tab w:val="left" w:pos="8280"/>
        </w:tabs>
        <w:spacing w:line="460" w:lineRule="exact"/>
        <w:ind w:firstLine="560" w:firstLineChars="200"/>
        <w:rPr>
          <w:rFonts w:hint="eastAsia"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58"/>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97"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2" w:firstLineChars="150"/>
        <w:rPr>
          <w:rFonts w:ascii="仿宋_GB2312" w:hAnsi="仿宋" w:eastAsia="仿宋_GB2312"/>
          <w:b/>
          <w:sz w:val="28"/>
          <w:szCs w:val="28"/>
        </w:rPr>
      </w:pP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112079F">
      <w:pPr>
        <w:spacing w:line="460" w:lineRule="exact"/>
        <w:rPr>
          <w:rFonts w:hint="eastAsia" w:ascii="仿宋" w:hAnsi="仿宋" w:eastAsia="仿宋"/>
          <w:sz w:val="28"/>
          <w:szCs w:val="28"/>
        </w:rPr>
      </w:pPr>
    </w:p>
    <w:p w14:paraId="57D77A2C">
      <w:pPr>
        <w:spacing w:line="460" w:lineRule="exact"/>
        <w:rPr>
          <w:rFonts w:hint="eastAsia" w:ascii="仿宋" w:hAnsi="仿宋" w:eastAsia="仿宋"/>
          <w:sz w:val="28"/>
          <w:szCs w:val="28"/>
        </w:rPr>
      </w:pPr>
    </w:p>
    <w:p w14:paraId="152C6FF3">
      <w:pPr>
        <w:spacing w:line="460" w:lineRule="exact"/>
        <w:rPr>
          <w:rFonts w:hint="eastAsia"/>
          <w:lang w:val="en-US" w:eastAsia="zh-CN"/>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bookmarkStart w:id="2" w:name="_Toc472454500"/>
      <w:bookmarkStart w:id="3" w:name="_Toc468785718"/>
    </w:p>
    <w:bookmarkEnd w:id="2"/>
    <w:bookmarkEnd w:id="3"/>
    <w:p w14:paraId="62A0A7AA">
      <w:pPr>
        <w:widowControl w:val="0"/>
        <w:snapToGrid/>
        <w:spacing w:after="0" w:line="360" w:lineRule="auto"/>
        <w:jc w:val="both"/>
        <w:textAlignment w:val="baseline"/>
        <w:rPr>
          <w:rFonts w:ascii="宋体" w:hAnsi="Times New Roman" w:eastAsia="宋体" w:cs="Times New Roman"/>
          <w:b/>
          <w:color w:val="auto"/>
          <w:sz w:val="44"/>
          <w:szCs w:val="44"/>
          <w:highlight w:val="none"/>
        </w:rPr>
      </w:pPr>
    </w:p>
    <w:p w14:paraId="0A5B25FA">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0CE9EEC1">
      <w:pPr>
        <w:widowControl w:val="0"/>
        <w:snapToGrid/>
        <w:spacing w:after="0" w:line="360" w:lineRule="auto"/>
        <w:jc w:val="both"/>
        <w:textAlignment w:val="baseline"/>
        <w:rPr>
          <w:rFonts w:ascii="宋体" w:hAnsi="Times New Roman" w:eastAsia="宋体" w:cs="Times New Roman"/>
          <w:b/>
          <w:color w:val="auto"/>
          <w:sz w:val="44"/>
          <w:szCs w:val="44"/>
          <w:highlight w:val="none"/>
        </w:rPr>
      </w:pPr>
    </w:p>
    <w:p w14:paraId="14CFF4FA">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ascii="宋体" w:hAnsi="Times New Roman" w:eastAsia="宋体" w:cs="Times New Roman"/>
          <w:b/>
          <w:color w:val="auto"/>
          <w:sz w:val="44"/>
          <w:szCs w:val="44"/>
          <w:highlight w:val="none"/>
        </w:rPr>
        <w:t>洛阳万基宏远电力有限公司</w:t>
      </w:r>
    </w:p>
    <w:p w14:paraId="0CF3EF6E">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4C0497E7">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hint="eastAsia" w:ascii="宋体" w:hAnsi="Times New Roman" w:eastAsia="宋体" w:cs="Times New Roman"/>
          <w:b/>
          <w:color w:val="auto"/>
          <w:sz w:val="44"/>
          <w:szCs w:val="44"/>
          <w:highlight w:val="none"/>
        </w:rPr>
        <w:t>#2机组锅炉壁温系统升级</w:t>
      </w:r>
    </w:p>
    <w:p w14:paraId="2D035F0F">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ascii="宋体" w:hAnsi="Times New Roman" w:eastAsia="宋体" w:cs="Times New Roman"/>
          <w:b/>
          <w:color w:val="auto"/>
          <w:sz w:val="44"/>
          <w:szCs w:val="44"/>
          <w:highlight w:val="none"/>
        </w:rPr>
        <w:t>招标</w:t>
      </w:r>
      <w:r>
        <w:rPr>
          <w:rFonts w:hint="eastAsia" w:ascii="宋体" w:hAnsi="Times New Roman" w:eastAsia="宋体" w:cs="Times New Roman"/>
          <w:b/>
          <w:color w:val="auto"/>
          <w:sz w:val="44"/>
          <w:szCs w:val="44"/>
          <w:highlight w:val="none"/>
        </w:rPr>
        <w:t>技术规范书</w:t>
      </w:r>
    </w:p>
    <w:p w14:paraId="596191DE">
      <w:pPr>
        <w:spacing w:line="360" w:lineRule="auto"/>
        <w:rPr>
          <w:color w:val="auto"/>
          <w:sz w:val="36"/>
          <w:highlight w:val="none"/>
        </w:rPr>
      </w:pPr>
    </w:p>
    <w:p w14:paraId="70ABEDEB">
      <w:pPr>
        <w:pStyle w:val="66"/>
      </w:pPr>
    </w:p>
    <w:p w14:paraId="2BD88AA1">
      <w:pPr>
        <w:tabs>
          <w:tab w:val="left" w:pos="5310"/>
        </w:tabs>
        <w:spacing w:line="360" w:lineRule="auto"/>
        <w:rPr>
          <w:color w:val="auto"/>
          <w:sz w:val="36"/>
          <w:highlight w:val="none"/>
        </w:rPr>
      </w:pPr>
    </w:p>
    <w:p w14:paraId="4A2DCE13">
      <w:pPr>
        <w:tabs>
          <w:tab w:val="left" w:pos="5310"/>
        </w:tabs>
        <w:spacing w:line="360" w:lineRule="auto"/>
        <w:rPr>
          <w:color w:val="auto"/>
          <w:sz w:val="36"/>
          <w:highlight w:val="none"/>
        </w:rPr>
      </w:pPr>
    </w:p>
    <w:p w14:paraId="750E9675">
      <w:pPr>
        <w:tabs>
          <w:tab w:val="left" w:pos="5310"/>
        </w:tabs>
        <w:spacing w:line="360" w:lineRule="auto"/>
        <w:rPr>
          <w:color w:val="auto"/>
          <w:sz w:val="36"/>
          <w:highlight w:val="none"/>
        </w:rPr>
      </w:pPr>
    </w:p>
    <w:p w14:paraId="3A335153">
      <w:pPr>
        <w:spacing w:line="360" w:lineRule="auto"/>
        <w:jc w:val="center"/>
        <w:rPr>
          <w:color w:val="auto"/>
          <w:sz w:val="30"/>
          <w:szCs w:val="30"/>
          <w:highlight w:val="none"/>
        </w:rPr>
      </w:pPr>
      <w:r>
        <w:rPr>
          <w:color w:val="auto"/>
          <w:sz w:val="30"/>
          <w:szCs w:val="30"/>
          <w:highlight w:val="none"/>
        </w:rPr>
        <w:t>招标人：洛阳万基宏远电力有限公司</w:t>
      </w:r>
    </w:p>
    <w:p w14:paraId="0DA8E0D7">
      <w:pPr>
        <w:spacing w:line="360" w:lineRule="auto"/>
        <w:jc w:val="center"/>
        <w:rPr>
          <w:rFonts w:hint="default" w:eastAsia="微软雅黑"/>
          <w:color w:val="auto"/>
          <w:sz w:val="30"/>
          <w:szCs w:val="30"/>
          <w:highlight w:val="none"/>
          <w:lang w:val="en-US" w:eastAsia="zh-CN"/>
        </w:rPr>
      </w:pPr>
      <w:r>
        <w:rPr>
          <w:color w:val="auto"/>
          <w:sz w:val="30"/>
          <w:szCs w:val="30"/>
          <w:highlight w:val="none"/>
        </w:rPr>
        <w:t>202</w:t>
      </w:r>
      <w:r>
        <w:rPr>
          <w:rFonts w:hint="eastAsia"/>
          <w:color w:val="auto"/>
          <w:sz w:val="30"/>
          <w:szCs w:val="30"/>
          <w:highlight w:val="none"/>
        </w:rPr>
        <w:t>6</w:t>
      </w:r>
      <w:r>
        <w:rPr>
          <w:color w:val="auto"/>
          <w:sz w:val="30"/>
          <w:szCs w:val="30"/>
          <w:highlight w:val="none"/>
        </w:rPr>
        <w:t>-0</w:t>
      </w:r>
      <w:r>
        <w:rPr>
          <w:rFonts w:hint="eastAsia"/>
          <w:color w:val="auto"/>
          <w:sz w:val="30"/>
          <w:szCs w:val="30"/>
          <w:highlight w:val="none"/>
          <w:lang w:val="en-US" w:eastAsia="zh-CN"/>
        </w:rPr>
        <w:t>3</w:t>
      </w:r>
      <w:r>
        <w:rPr>
          <w:color w:val="auto"/>
          <w:sz w:val="30"/>
          <w:szCs w:val="30"/>
          <w:highlight w:val="none"/>
        </w:rPr>
        <w:t>-2</w:t>
      </w:r>
      <w:r>
        <w:rPr>
          <w:rFonts w:hint="eastAsia"/>
          <w:color w:val="auto"/>
          <w:sz w:val="30"/>
          <w:szCs w:val="30"/>
          <w:highlight w:val="none"/>
          <w:lang w:val="en-US" w:eastAsia="zh-CN"/>
        </w:rPr>
        <w:t>8</w:t>
      </w:r>
    </w:p>
    <w:p w14:paraId="2D709983">
      <w:pPr>
        <w:pStyle w:val="32"/>
        <w:spacing w:line="360" w:lineRule="auto"/>
        <w:ind w:left="99" w:leftChars="47"/>
        <w:jc w:val="center"/>
        <w:rPr>
          <w:rFonts w:eastAsia="楷体_GB2312"/>
          <w:color w:val="auto"/>
          <w:spacing w:val="30"/>
          <w:sz w:val="36"/>
          <w:szCs w:val="36"/>
          <w:highlight w:val="none"/>
        </w:rPr>
        <w:sectPr>
          <w:footerReference r:id="rId6" w:type="first"/>
          <w:footerReference r:id="rId4" w:type="default"/>
          <w:headerReference r:id="rId3" w:type="even"/>
          <w:footerReference r:id="rId5" w:type="even"/>
          <w:pgSz w:w="11907" w:h="16840"/>
          <w:pgMar w:top="1429" w:right="1418" w:bottom="1429" w:left="1389" w:header="680" w:footer="1304" w:gutter="0"/>
          <w:pgNumType w:start="0"/>
          <w:cols w:space="720" w:num="1"/>
          <w:titlePg/>
          <w:docGrid w:linePitch="285" w:charSpace="0"/>
        </w:sectPr>
      </w:pPr>
    </w:p>
    <w:p w14:paraId="0363F0A0">
      <w:pPr>
        <w:keepNext/>
        <w:keepLines/>
        <w:widowControl w:val="0"/>
        <w:spacing w:after="0" w:line="360" w:lineRule="auto"/>
        <w:jc w:val="both"/>
        <w:textAlignment w:val="baseline"/>
        <w:outlineLvl w:val="1"/>
        <w:rPr>
          <w:rFonts w:ascii="宋体" w:hAnsi="宋体" w:eastAsia="宋体" w:cs="Times New Roman"/>
          <w:bCs/>
          <w:color w:val="auto"/>
          <w:kern w:val="44"/>
          <w:sz w:val="24"/>
          <w:szCs w:val="24"/>
          <w:highlight w:val="none"/>
        </w:rPr>
      </w:pPr>
      <w:bookmarkStart w:id="4" w:name="_Toc353913912"/>
      <w:bookmarkStart w:id="5" w:name="_Toc362613367"/>
      <w:bookmarkStart w:id="6" w:name="_Toc353955150"/>
      <w:bookmarkStart w:id="7" w:name="_Toc358103494"/>
      <w:bookmarkStart w:id="8" w:name="_Toc353914176"/>
      <w:r>
        <w:rPr>
          <w:rFonts w:hint="eastAsia" w:ascii="宋体" w:hAnsi="宋体" w:eastAsia="宋体" w:cs="Times New Roman"/>
          <w:bCs/>
          <w:color w:val="auto"/>
          <w:kern w:val="44"/>
          <w:sz w:val="24"/>
          <w:szCs w:val="24"/>
          <w:highlight w:val="none"/>
        </w:rPr>
        <w:t>1 总则</w:t>
      </w:r>
      <w:bookmarkEnd w:id="4"/>
      <w:bookmarkEnd w:id="5"/>
      <w:bookmarkEnd w:id="6"/>
      <w:bookmarkEnd w:id="7"/>
      <w:bookmarkEnd w:id="8"/>
    </w:p>
    <w:p w14:paraId="4187A024">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.1本招标文件仅适用于</w:t>
      </w:r>
      <w:r>
        <w:rPr>
          <w:rFonts w:ascii="宋体" w:hAnsi="宋体" w:eastAsia="宋体" w:cs="Times New Roman"/>
          <w:color w:val="auto"/>
          <w:sz w:val="24"/>
          <w:szCs w:val="24"/>
          <w:highlight w:val="none"/>
        </w:rPr>
        <w:t>洛阳万基宏远电力有限公司</w:t>
      </w:r>
      <w:r>
        <w:rPr>
          <w:rFonts w:hint="eastAsia" w:ascii="宋体" w:hAnsi="宋体" w:eastAsia="宋体" w:cs="Times New Roman"/>
          <w:color w:val="auto"/>
          <w:sz w:val="24"/>
          <w:szCs w:val="24"/>
          <w:highlight w:val="none"/>
        </w:rPr>
        <w:t>#2机组灵活性及节能改造项目中配套的的锅炉壁温系统升级改造及其附属设备及附件等，它提出了锅炉壁温系统升级改造本体设备及其附属系统的功能设计、制造、检验、安装和试验等方面的技术要求。</w:t>
      </w:r>
    </w:p>
    <w:p w14:paraId="7583F98E">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1.2 </w:t>
      </w:r>
      <w:r>
        <w:rPr>
          <w:rFonts w:hint="eastAsia" w:ascii="宋体" w:hAnsi="宋体" w:eastAsia="宋体" w:cs="Times New Roman"/>
          <w:color w:val="auto"/>
          <w:sz w:val="24"/>
          <w:szCs w:val="24"/>
          <w:highlight w:val="none"/>
        </w:rPr>
        <w:t>本招标文件提出的是最低限度的技术要求，</w:t>
      </w:r>
      <w:r>
        <w:rPr>
          <w:rFonts w:hint="eastAsia" w:ascii="宋体" w:hAnsi="宋体" w:eastAsia="宋体" w:cs="Times New Roman"/>
          <w:color w:val="auto"/>
          <w:spacing w:val="-10"/>
          <w:sz w:val="24"/>
          <w:szCs w:val="24"/>
          <w:highlight w:val="none"/>
        </w:rPr>
        <w:t>并未对一切技术细节作出详细规定，也未充分引述有关标准和规范的条文</w:t>
      </w:r>
      <w:r>
        <w:rPr>
          <w:rFonts w:hint="eastAsia" w:ascii="宋体" w:hAnsi="宋体" w:eastAsia="宋体" w:cs="Times New Roman"/>
          <w:color w:val="auto"/>
          <w:sz w:val="24"/>
          <w:szCs w:val="24"/>
          <w:highlight w:val="none"/>
        </w:rPr>
        <w:t>，投标人应保证提供符合本规范书和相关的国际国内标准要求的优质产品及相应服务。</w:t>
      </w:r>
    </w:p>
    <w:p w14:paraId="24242715">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1.3 </w:t>
      </w:r>
      <w:r>
        <w:rPr>
          <w:rFonts w:hint="eastAsia" w:ascii="宋体" w:hAnsi="宋体" w:eastAsia="宋体" w:cs="Times New Roman"/>
          <w:color w:val="auto"/>
          <w:sz w:val="24"/>
          <w:szCs w:val="24"/>
          <w:highlight w:val="none"/>
        </w:rPr>
        <w:t>如招标人有除本规范书以外的其它要求，应以书面形式提出，经招、投标双方讨论后载于本规范书。</w:t>
      </w:r>
    </w:p>
    <w:p w14:paraId="12B987DF">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bookmarkStart w:id="9" w:name="OLE_LINK6"/>
      <w:bookmarkStart w:id="10" w:name="OLE_LINK5"/>
      <w:r>
        <w:rPr>
          <w:rFonts w:hint="eastAsia" w:ascii="宋体" w:hAnsi="宋体" w:eastAsia="宋体" w:cs="Times New Roman"/>
          <w:color w:val="auto"/>
          <w:sz w:val="24"/>
          <w:szCs w:val="24"/>
          <w:highlight w:val="none"/>
        </w:rPr>
        <w:t>锅炉壁温系统</w:t>
      </w:r>
      <w:bookmarkEnd w:id="9"/>
      <w:bookmarkEnd w:id="10"/>
      <w:r>
        <w:rPr>
          <w:rFonts w:hint="eastAsia" w:ascii="宋体" w:hAnsi="宋体" w:eastAsia="宋体" w:cs="Times New Roman"/>
          <w:color w:val="auto"/>
          <w:sz w:val="24"/>
          <w:szCs w:val="24"/>
          <w:highlight w:val="none"/>
        </w:rPr>
        <w:t>升级改造的设备及系统设计由投标人完成。投标人应对提供的</w:t>
      </w:r>
      <w:bookmarkStart w:id="11" w:name="OLE_LINK8"/>
      <w:bookmarkStart w:id="12" w:name="OLE_LINK7"/>
      <w:r>
        <w:rPr>
          <w:rFonts w:hint="eastAsia" w:ascii="宋体" w:hAnsi="宋体" w:eastAsia="宋体" w:cs="Times New Roman"/>
          <w:color w:val="auto"/>
          <w:sz w:val="24"/>
          <w:szCs w:val="24"/>
          <w:highlight w:val="none"/>
        </w:rPr>
        <w:t>锅炉壁温系统</w:t>
      </w:r>
      <w:bookmarkEnd w:id="11"/>
      <w:bookmarkEnd w:id="12"/>
      <w:r>
        <w:rPr>
          <w:rFonts w:hint="eastAsia" w:ascii="宋体" w:hAnsi="宋体" w:eastAsia="宋体" w:cs="Times New Roman"/>
          <w:color w:val="auto"/>
          <w:sz w:val="24"/>
          <w:szCs w:val="24"/>
          <w:highlight w:val="none"/>
        </w:rPr>
        <w:t>的完善性和功能正确性负全部责任，投标人须有600MW及以上火电机组的</w:t>
      </w:r>
      <w:bookmarkStart w:id="13" w:name="OLE_LINK12"/>
      <w:bookmarkStart w:id="14" w:name="OLE_LINK11"/>
      <w:r>
        <w:rPr>
          <w:rFonts w:hint="eastAsia" w:ascii="宋体" w:hAnsi="宋体" w:eastAsia="宋体" w:cs="Times New Roman"/>
          <w:color w:val="auto"/>
          <w:sz w:val="24"/>
          <w:szCs w:val="24"/>
          <w:highlight w:val="none"/>
        </w:rPr>
        <w:t>锅炉壁温系统升级</w:t>
      </w:r>
      <w:bookmarkEnd w:id="13"/>
      <w:bookmarkEnd w:id="14"/>
      <w:r>
        <w:rPr>
          <w:rFonts w:hint="eastAsia" w:ascii="宋体" w:hAnsi="宋体" w:eastAsia="宋体" w:cs="Times New Roman"/>
          <w:color w:val="auto"/>
          <w:sz w:val="24"/>
          <w:szCs w:val="24"/>
          <w:highlight w:val="none"/>
        </w:rPr>
        <w:t>改造方面的良好运行业绩。业绩要求见招标公告。</w:t>
      </w:r>
    </w:p>
    <w:p w14:paraId="1DE3DDD8">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本招标文件所使用的标准若与投标人所执行的标准发生矛盾时，按较严格标准执行。</w:t>
      </w:r>
    </w:p>
    <w:p w14:paraId="54B2E67D">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如投标人未对本规范书提出书面异议，招标人则可认为供方提供的产品完全满足本规范书的要求。</w:t>
      </w:r>
    </w:p>
    <w:p w14:paraId="62677BE7">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1.7 </w:t>
      </w:r>
      <w:r>
        <w:rPr>
          <w:rFonts w:hint="eastAsia" w:ascii="宋体" w:hAnsi="宋体" w:eastAsia="宋体" w:cs="Times New Roman"/>
          <w:color w:val="auto"/>
          <w:sz w:val="24"/>
          <w:szCs w:val="24"/>
          <w:highlight w:val="none"/>
        </w:rPr>
        <w:t>本招标文件经招、投标双方共同确认和签字后作为订货合同的附件，与订货合同正文具有同等效力。未尽事宜由双方协商解决。</w:t>
      </w:r>
    </w:p>
    <w:p w14:paraId="6BDF06FD">
      <w:pPr>
        <w:widowControl w:val="0"/>
        <w:topLinePunct/>
        <w:snapToGrid/>
        <w:spacing w:after="0" w:line="360" w:lineRule="auto"/>
        <w:jc w:val="both"/>
        <w:textAlignment w:val="baseline"/>
        <w:rPr>
          <w:rFonts w:ascii="Arial" w:hAnsi="Arial" w:eastAsia="宋体" w:cs="Arial"/>
          <w:color w:val="auto"/>
          <w:sz w:val="24"/>
          <w:szCs w:val="24"/>
          <w:highlight w:val="none"/>
        </w:rPr>
      </w:pPr>
      <w:r>
        <w:rPr>
          <w:rFonts w:hint="eastAsia" w:ascii="宋体" w:hAnsi="宋体" w:eastAsia="宋体" w:cs="Times New Roman"/>
          <w:color w:val="auto"/>
          <w:sz w:val="24"/>
          <w:szCs w:val="24"/>
          <w:highlight w:val="none"/>
        </w:rPr>
        <w:t>1.8</w:t>
      </w:r>
      <w:r>
        <w:rPr>
          <w:rFonts w:ascii="Arial" w:hAnsi="Arial" w:eastAsia="宋体" w:cs="Arial"/>
          <w:color w:val="auto"/>
          <w:sz w:val="24"/>
          <w:szCs w:val="24"/>
          <w:highlight w:val="none"/>
        </w:rPr>
        <w:t>本工程采用</w:t>
      </w:r>
      <w:r>
        <w:rPr>
          <w:rFonts w:hint="eastAsia" w:ascii="宋体" w:hAnsi="宋体" w:eastAsia="宋体" w:cs="Times New Roman"/>
          <w:color w:val="auto"/>
          <w:sz w:val="24"/>
          <w:szCs w:val="24"/>
          <w:highlight w:val="none"/>
        </w:rPr>
        <w:t>电厂编码标识系统</w:t>
      </w:r>
      <w:r>
        <w:rPr>
          <w:rFonts w:ascii="Arial" w:hAnsi="Arial" w:eastAsia="宋体" w:cs="Arial"/>
          <w:color w:val="auto"/>
          <w:sz w:val="24"/>
          <w:szCs w:val="24"/>
          <w:highlight w:val="none"/>
        </w:rPr>
        <w:t>。</w:t>
      </w:r>
      <w:r>
        <w:rPr>
          <w:rFonts w:hint="eastAsia" w:ascii="Arial" w:hAnsi="Arial" w:eastAsia="宋体" w:cs="Arial"/>
          <w:color w:val="auto"/>
          <w:sz w:val="24"/>
          <w:szCs w:val="24"/>
          <w:highlight w:val="none"/>
        </w:rPr>
        <w:t>投标人</w:t>
      </w:r>
      <w:r>
        <w:rPr>
          <w:rFonts w:ascii="Arial" w:hAnsi="Arial" w:eastAsia="宋体" w:cs="Arial"/>
          <w:color w:val="auto"/>
          <w:sz w:val="24"/>
          <w:szCs w:val="24"/>
          <w:highlight w:val="none"/>
        </w:rPr>
        <w:t>在中标后提供的技术文件（包括资料、图纸）和设备铭牌上须有编</w:t>
      </w:r>
      <w:r>
        <w:rPr>
          <w:rFonts w:hint="eastAsia" w:ascii="Arial" w:hAnsi="Arial" w:eastAsia="宋体" w:cs="Arial"/>
          <w:color w:val="auto"/>
          <w:sz w:val="24"/>
          <w:szCs w:val="24"/>
          <w:highlight w:val="none"/>
        </w:rPr>
        <w:t>码</w:t>
      </w:r>
      <w:r>
        <w:rPr>
          <w:rFonts w:ascii="Arial" w:hAnsi="Arial" w:eastAsia="宋体" w:cs="Arial"/>
          <w:color w:val="auto"/>
          <w:sz w:val="24"/>
          <w:szCs w:val="24"/>
          <w:highlight w:val="none"/>
        </w:rPr>
        <w:t>，具体标识要求由设计院提出，在设计联络会上确定。</w:t>
      </w:r>
    </w:p>
    <w:p w14:paraId="637EBD2E">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9在合同签定后，招标人有权因规范、标准、规程发生变化而提出一些补充要求，具体内容双方共同商定。</w:t>
      </w:r>
    </w:p>
    <w:p w14:paraId="3571349F">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1.10所有设备铭牌的材料采用不锈钢316L。</w:t>
      </w:r>
    </w:p>
    <w:p w14:paraId="591A7EE6">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bCs/>
          <w:color w:val="auto"/>
          <w:sz w:val="24"/>
          <w:szCs w:val="24"/>
          <w:highlight w:val="none"/>
        </w:rPr>
        <w:t>1.11</w:t>
      </w:r>
      <w:r>
        <w:rPr>
          <w:rFonts w:hint="eastAsia" w:ascii="宋体" w:hAnsi="宋体" w:eastAsia="宋体" w:cs="Times New Roman"/>
          <w:color w:val="auto"/>
          <w:sz w:val="24"/>
          <w:szCs w:val="24"/>
          <w:highlight w:val="none"/>
        </w:rPr>
        <w:t>投标方应在投标文件中，对于招标文件进行逐段应答，表明是否理解并承诺接受和同意本招标文件的要求，如：接受和同意招标文件某条款的要求，则在该条款后注明：“理解并承诺完全响应上述条款的要求”；若针对某条款，投标方有特别的建议、方案、技术特点或差异，请在该条款下加以详细描述。</w:t>
      </w:r>
    </w:p>
    <w:p w14:paraId="62BEC032">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1.12 本工程涉及到工程范围外的设备、构建筑物等临时拆除或造成破损，由投标人负责恢复至原有状态。涉及有可能破坏工程范围外的设备、构建筑物等投标人必须事先采取经招标人同意的必要措施进行监测和保护，如涉及基础施工时，有可能照成工程范围外的设备、构建筑物等的沉降和不稳定问题等。</w:t>
      </w:r>
    </w:p>
    <w:p w14:paraId="0D31C79B">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1.13 本工程投标人须按照洛阳万基宏远电力有限公司安全文明生产相关要求进行安全文明施工。</w:t>
      </w:r>
    </w:p>
    <w:p w14:paraId="519F2973">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1.14 本工程投标人须为所有施工人员购买工伤保险或赔付金额大于100万（或保险金额为不低于上一年全国城镇具名人均可支配收入的30倍）的意外伤害保险，同时承担高风险作业的人员还必须增加雇主责任险，引起的任何纠纷等责任由报价人自行承担。</w:t>
      </w:r>
    </w:p>
    <w:p w14:paraId="18F7553C">
      <w:pPr>
        <w:spacing w:after="0"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w:t>
      </w:r>
      <w:r>
        <w:rPr>
          <w:rFonts w:ascii="宋体" w:hAnsi="宋体" w:eastAsia="宋体" w:cs="Times New Roman"/>
          <w:color w:val="auto"/>
          <w:sz w:val="24"/>
          <w:szCs w:val="24"/>
          <w:highlight w:val="none"/>
        </w:rPr>
        <w:t>5本项目改造范围</w:t>
      </w:r>
      <w:r>
        <w:rPr>
          <w:rFonts w:hint="eastAsia" w:ascii="宋体" w:hAnsi="宋体" w:eastAsia="宋体" w:cs="Times New Roman"/>
          <w:color w:val="auto"/>
          <w:sz w:val="24"/>
          <w:szCs w:val="24"/>
          <w:highlight w:val="none"/>
        </w:rPr>
        <w:t>是在低负荷或变负荷条件下，</w:t>
      </w:r>
      <w:r>
        <w:rPr>
          <w:rFonts w:hint="eastAsia" w:ascii="宋体" w:hAnsi="宋体" w:eastAsia="宋体" w:cs="Times New Roman"/>
          <w:color w:val="auto"/>
          <w:sz w:val="24"/>
          <w:szCs w:val="24"/>
          <w:highlight w:val="none"/>
          <w:lang w:val="en-US" w:eastAsia="zh-CN"/>
        </w:rPr>
        <w:t>对</w:t>
      </w:r>
      <w:r>
        <w:rPr>
          <w:rFonts w:hint="eastAsia" w:ascii="宋体" w:hAnsi="宋体" w:eastAsia="宋体" w:cs="Times New Roman"/>
          <w:color w:val="auto"/>
          <w:sz w:val="24"/>
          <w:szCs w:val="24"/>
          <w:highlight w:val="none"/>
        </w:rPr>
        <w:t>存在超温隐患的水冷壁、屏过、末过、末再等受热面增加和优化壁温测点，保证机组深调过程中锅炉的水动力安全，</w:t>
      </w:r>
      <w:r>
        <w:rPr>
          <w:rFonts w:ascii="宋体" w:hAnsi="宋体" w:eastAsia="宋体" w:cs="Times New Roman"/>
          <w:color w:val="auto"/>
          <w:sz w:val="24"/>
          <w:szCs w:val="24"/>
          <w:highlight w:val="none"/>
        </w:rPr>
        <w:t>包括但不限于：</w:t>
      </w:r>
      <w:bookmarkStart w:id="15" w:name="OLE_LINK16"/>
      <w:bookmarkStart w:id="16" w:name="OLE_LINK15"/>
      <w:r>
        <w:rPr>
          <w:rFonts w:hint="eastAsia" w:ascii="宋体" w:hAnsi="宋体" w:eastAsia="宋体" w:cs="Times New Roman"/>
          <w:color w:val="auto"/>
          <w:sz w:val="24"/>
          <w:szCs w:val="24"/>
          <w:highlight w:val="none"/>
        </w:rPr>
        <w:t>锅炉壁温系统升级改造</w:t>
      </w:r>
      <w:bookmarkEnd w:id="15"/>
      <w:bookmarkEnd w:id="16"/>
      <w:r>
        <w:rPr>
          <w:rFonts w:hint="eastAsia" w:ascii="宋体" w:hAnsi="宋体" w:eastAsia="宋体" w:cs="Times New Roman"/>
          <w:color w:val="auto"/>
          <w:sz w:val="24"/>
          <w:szCs w:val="24"/>
          <w:highlight w:val="none"/>
        </w:rPr>
        <w:t>的设计</w:t>
      </w:r>
      <w:r>
        <w:rPr>
          <w:rFonts w:ascii="宋体" w:hAnsi="宋体" w:eastAsia="宋体" w:cs="Times New Roman"/>
          <w:color w:val="auto"/>
          <w:sz w:val="24"/>
          <w:szCs w:val="24"/>
          <w:highlight w:val="none"/>
        </w:rPr>
        <w:t>、采购、供货、运输、施工安装、工序验收、调试、试验、试运行、消缺、培训、考核验收和最终交付投产等。上述改造范围仅列出了本改造工程主要改造范围，</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应充分考虑本改造工程实施过程中必须要实施的原有系统及设备的改造，除非</w:t>
      </w:r>
      <w:r>
        <w:rPr>
          <w:rFonts w:hint="eastAsia" w:ascii="宋体" w:hAnsi="宋体" w:eastAsia="宋体" w:cs="Times New Roman"/>
          <w:color w:val="auto"/>
          <w:sz w:val="24"/>
          <w:szCs w:val="24"/>
          <w:highlight w:val="none"/>
        </w:rPr>
        <w:t>招标方</w:t>
      </w:r>
      <w:r>
        <w:rPr>
          <w:rFonts w:ascii="宋体" w:hAnsi="宋体" w:eastAsia="宋体" w:cs="Times New Roman"/>
          <w:color w:val="auto"/>
          <w:sz w:val="24"/>
          <w:szCs w:val="24"/>
          <w:highlight w:val="none"/>
        </w:rPr>
        <w:t>明确，该部分改造工作亦在本次改造工程范围内，由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负责实施（设计、供货、施工），且不另计费用，为了保证改造工程的顺利进行，并在改造后达到预期的目的，</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需到</w:t>
      </w:r>
      <w:r>
        <w:rPr>
          <w:rFonts w:hint="eastAsia" w:ascii="宋体" w:hAnsi="宋体" w:eastAsia="宋体" w:cs="Times New Roman"/>
          <w:color w:val="auto"/>
          <w:sz w:val="24"/>
          <w:szCs w:val="24"/>
          <w:highlight w:val="none"/>
        </w:rPr>
        <w:t>招标方</w:t>
      </w:r>
      <w:r>
        <w:rPr>
          <w:rFonts w:ascii="宋体" w:hAnsi="宋体" w:eastAsia="宋体" w:cs="Times New Roman"/>
          <w:color w:val="auto"/>
          <w:sz w:val="24"/>
          <w:szCs w:val="24"/>
          <w:highlight w:val="none"/>
        </w:rPr>
        <w:t>现场进行踏勘和进一步的收资，否则由此造成的一切后果均由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负责，踏勘和进一步的收资的费用由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w:t>
      </w:r>
    </w:p>
    <w:p w14:paraId="03922884">
      <w:pPr>
        <w:keepNext/>
        <w:spacing w:before="140" w:after="140" w:line="360" w:lineRule="auto"/>
        <w:outlineLvl w:val="1"/>
        <w:rPr>
          <w:rFonts w:hint="eastAsia" w:ascii="宋体" w:hAnsi="宋体" w:eastAsia="宋体" w:cs="Times New Roman"/>
          <w:color w:val="auto"/>
          <w:sz w:val="24"/>
          <w:szCs w:val="24"/>
          <w:highlight w:val="none"/>
        </w:rPr>
      </w:pPr>
      <w:bookmarkStart w:id="17" w:name="_Toc29464"/>
      <w:bookmarkStart w:id="18" w:name="_Toc6364"/>
      <w:bookmarkStart w:id="19" w:name="_Toc273168730"/>
      <w:bookmarkStart w:id="20" w:name="_Toc261960256"/>
      <w:bookmarkStart w:id="21" w:name="_Toc273169342"/>
      <w:bookmarkStart w:id="22" w:name="_Toc359852081"/>
    </w:p>
    <w:p w14:paraId="09F83772">
      <w:pPr>
        <w:keepNext/>
        <w:spacing w:before="140" w:after="140" w:line="360" w:lineRule="auto"/>
        <w:outlineLvl w:val="1"/>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2.工程概况</w:t>
      </w:r>
      <w:bookmarkEnd w:id="17"/>
      <w:bookmarkEnd w:id="18"/>
    </w:p>
    <w:bookmarkEnd w:id="19"/>
    <w:bookmarkEnd w:id="20"/>
    <w:bookmarkEnd w:id="21"/>
    <w:p w14:paraId="513EA7B5">
      <w:pPr>
        <w:keepNext/>
        <w:widowControl w:val="0"/>
        <w:spacing w:before="120" w:after="120" w:line="360" w:lineRule="auto"/>
        <w:outlineLvl w:val="2"/>
        <w:rPr>
          <w:rFonts w:ascii="宋体" w:hAnsi="宋体" w:eastAsia="宋体" w:cs="Times New Roman"/>
          <w:color w:val="auto"/>
          <w:sz w:val="24"/>
          <w:szCs w:val="24"/>
          <w:highlight w:val="none"/>
        </w:rPr>
      </w:pPr>
      <w:bookmarkStart w:id="23" w:name="_Toc13033"/>
      <w:r>
        <w:rPr>
          <w:rFonts w:hint="eastAsia" w:ascii="宋体" w:hAnsi="宋体" w:eastAsia="宋体" w:cs="Times New Roman"/>
          <w:color w:val="auto"/>
          <w:sz w:val="24"/>
          <w:szCs w:val="24"/>
          <w:highlight w:val="none"/>
        </w:rPr>
        <w:t>2.1接口相关设备概况</w:t>
      </w:r>
      <w:bookmarkEnd w:id="23"/>
    </w:p>
    <w:p w14:paraId="5678CCF7">
      <w:pPr>
        <w:autoSpaceDE w:val="0"/>
        <w:autoSpaceDN w:val="0"/>
        <w:spacing w:line="360" w:lineRule="auto"/>
        <w:ind w:firstLine="480" w:firstLineChars="200"/>
        <w:jc w:val="both"/>
        <w:rPr>
          <w:rFonts w:ascii="宋体" w:hAnsi="宋体" w:eastAsia="宋体" w:cs="Times New Roman"/>
          <w:color w:val="auto"/>
          <w:sz w:val="24"/>
          <w:szCs w:val="24"/>
          <w:highlight w:val="none"/>
        </w:rPr>
      </w:pPr>
      <w:bookmarkStart w:id="24" w:name="_Toc189538575"/>
      <w:bookmarkStart w:id="25" w:name="_Toc189735172"/>
      <w:bookmarkStart w:id="26" w:name="_Toc188792609"/>
      <w:bookmarkStart w:id="27" w:name="_Toc25260"/>
      <w:r>
        <w:rPr>
          <w:rFonts w:hint="eastAsia" w:ascii="宋体" w:hAnsi="宋体" w:eastAsia="宋体" w:cs="Times New Roman"/>
          <w:color w:val="auto"/>
          <w:sz w:val="24"/>
          <w:szCs w:val="24"/>
          <w:highlight w:val="none"/>
        </w:rPr>
        <w:t>本工程现有两台600MW汽轮发电机组，</w:t>
      </w:r>
      <w:r>
        <w:rPr>
          <w:rFonts w:ascii="宋体" w:hAnsi="宋体" w:eastAsia="宋体" w:cs="Times New Roman"/>
          <w:color w:val="auto"/>
          <w:sz w:val="24"/>
          <w:szCs w:val="24"/>
          <w:highlight w:val="none"/>
        </w:rPr>
        <w:t>锅炉采用π型布置</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单炉膛，</w:t>
      </w:r>
      <w:r>
        <w:rPr>
          <w:rFonts w:hint="eastAsia" w:ascii="宋体" w:hAnsi="宋体" w:eastAsia="宋体" w:cs="Times New Roman"/>
          <w:color w:val="auto"/>
          <w:sz w:val="24"/>
          <w:szCs w:val="24"/>
          <w:highlight w:val="none"/>
        </w:rPr>
        <w:t>尾部双烟道</w:t>
      </w:r>
      <w:r>
        <w:rPr>
          <w:rFonts w:ascii="宋体" w:hAnsi="宋体" w:eastAsia="宋体" w:cs="Times New Roman"/>
          <w:color w:val="auto"/>
          <w:sz w:val="24"/>
          <w:szCs w:val="24"/>
          <w:highlight w:val="none"/>
        </w:rPr>
        <w:t>，全钢架，悬吊结构，燃烧器前后墙布置</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对冲燃烧。</w:t>
      </w:r>
    </w:p>
    <w:p w14:paraId="4EC5FBDA">
      <w:pPr>
        <w:ind w:firstLine="48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锅炉主要设计参数见表2.1。</w:t>
      </w:r>
    </w:p>
    <w:p w14:paraId="7B910678">
      <w:pPr>
        <w:jc w:val="center"/>
        <w:rPr>
          <w:rFonts w:hint="eastAsia" w:ascii="宋体" w:hAnsi="宋体" w:eastAsia="宋体" w:cs="Times New Roman"/>
          <w:color w:val="auto"/>
          <w:sz w:val="24"/>
          <w:szCs w:val="24"/>
          <w:highlight w:val="none"/>
        </w:rPr>
      </w:pPr>
    </w:p>
    <w:p w14:paraId="5B01380E">
      <w:pPr>
        <w:jc w:val="center"/>
        <w:rPr>
          <w:rFonts w:hint="eastAsia" w:ascii="宋体" w:hAnsi="宋体" w:eastAsia="宋体" w:cs="Times New Roman"/>
          <w:color w:val="auto"/>
          <w:sz w:val="24"/>
          <w:szCs w:val="24"/>
          <w:highlight w:val="none"/>
        </w:rPr>
      </w:pPr>
    </w:p>
    <w:p w14:paraId="14343023">
      <w:pPr>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表</w:t>
      </w:r>
      <w:r>
        <w:rPr>
          <w:rFonts w:ascii="宋体" w:hAnsi="宋体" w:eastAsia="宋体" w:cs="Times New Roman"/>
          <w:color w:val="auto"/>
          <w:sz w:val="24"/>
          <w:szCs w:val="24"/>
          <w:highlight w:val="none"/>
        </w:rPr>
        <w:t xml:space="preserve">2.1  </w:t>
      </w:r>
      <w:r>
        <w:rPr>
          <w:rFonts w:hint="eastAsia" w:ascii="宋体" w:hAnsi="宋体" w:eastAsia="宋体" w:cs="Times New Roman"/>
          <w:color w:val="auto"/>
          <w:sz w:val="24"/>
          <w:szCs w:val="24"/>
          <w:highlight w:val="none"/>
        </w:rPr>
        <w:t>锅炉主要设计参数</w:t>
      </w:r>
    </w:p>
    <w:tbl>
      <w:tblPr>
        <w:tblStyle w:val="59"/>
        <w:tblW w:w="4769"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2"/>
        <w:gridCol w:w="1699"/>
        <w:gridCol w:w="3607"/>
      </w:tblGrid>
      <w:tr w14:paraId="4D7D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07A0ABD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名称</w:t>
            </w:r>
          </w:p>
        </w:tc>
        <w:tc>
          <w:tcPr>
            <w:tcW w:w="959" w:type="pct"/>
            <w:vAlign w:val="center"/>
          </w:tcPr>
          <w:p w14:paraId="218F4159">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单位</w:t>
            </w:r>
          </w:p>
        </w:tc>
        <w:tc>
          <w:tcPr>
            <w:tcW w:w="2037" w:type="pct"/>
            <w:vAlign w:val="center"/>
          </w:tcPr>
          <w:p w14:paraId="54E6B486">
            <w:pPr>
              <w:spacing w:line="320" w:lineRule="exact"/>
              <w:jc w:val="center"/>
              <w:rPr>
                <w:rFonts w:cs="Times New Roman" w:asciiTheme="minorEastAsia" w:hAnsiTheme="minorEastAsia" w:eastAsiaTheme="minorEastAsia"/>
                <w:color w:val="auto"/>
                <w:sz w:val="24"/>
                <w:szCs w:val="24"/>
                <w:highlight w:val="none"/>
                <w:lang w:eastAsia="zh-CN"/>
              </w:rPr>
            </w:pPr>
            <w:r>
              <w:rPr>
                <w:rFonts w:cs="Times New Roman" w:asciiTheme="minorEastAsia" w:hAnsiTheme="minorEastAsia" w:eastAsiaTheme="minorEastAsia"/>
                <w:color w:val="auto"/>
                <w:sz w:val="24"/>
                <w:szCs w:val="24"/>
                <w:highlight w:val="none"/>
                <w:lang w:eastAsia="zh-CN"/>
              </w:rPr>
              <w:t>设计参数（BMCR工况）</w:t>
            </w:r>
          </w:p>
        </w:tc>
      </w:tr>
      <w:tr w14:paraId="1FF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E03D3F9">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w:t>
            </w:r>
          </w:p>
        </w:tc>
        <w:tc>
          <w:tcPr>
            <w:tcW w:w="959" w:type="pct"/>
            <w:vAlign w:val="center"/>
          </w:tcPr>
          <w:p w14:paraId="0DB4B56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5008CAB3">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HG1999/29.3-YM4</w:t>
            </w:r>
          </w:p>
        </w:tc>
      </w:tr>
      <w:tr w14:paraId="6595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FC21E3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生产厂家</w:t>
            </w:r>
          </w:p>
        </w:tc>
        <w:tc>
          <w:tcPr>
            <w:tcW w:w="959" w:type="pct"/>
            <w:vAlign w:val="center"/>
          </w:tcPr>
          <w:p w14:paraId="1508F4C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33A8F94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哈尔滨锅炉厂</w:t>
            </w:r>
          </w:p>
        </w:tc>
      </w:tr>
      <w:tr w14:paraId="763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03482DB">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主蒸汽流量</w:t>
            </w:r>
          </w:p>
        </w:tc>
        <w:tc>
          <w:tcPr>
            <w:tcW w:w="959" w:type="pct"/>
            <w:vAlign w:val="center"/>
          </w:tcPr>
          <w:p w14:paraId="5F743E9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t/h</w:t>
            </w:r>
          </w:p>
        </w:tc>
        <w:tc>
          <w:tcPr>
            <w:tcW w:w="2037" w:type="pct"/>
            <w:vAlign w:val="center"/>
          </w:tcPr>
          <w:p w14:paraId="66F9150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1999</w:t>
            </w:r>
          </w:p>
        </w:tc>
      </w:tr>
      <w:tr w14:paraId="4495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3118A0B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主蒸汽压力</w:t>
            </w:r>
          </w:p>
        </w:tc>
        <w:tc>
          <w:tcPr>
            <w:tcW w:w="959" w:type="pct"/>
            <w:vAlign w:val="center"/>
          </w:tcPr>
          <w:p w14:paraId="4067896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6572FF2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29.4</w:t>
            </w:r>
          </w:p>
        </w:tc>
      </w:tr>
      <w:tr w14:paraId="4884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74FD99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主蒸汽温度</w:t>
            </w:r>
          </w:p>
        </w:tc>
        <w:tc>
          <w:tcPr>
            <w:tcW w:w="959" w:type="pct"/>
            <w:vAlign w:val="center"/>
          </w:tcPr>
          <w:p w14:paraId="6340B81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613FEB8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605</w:t>
            </w:r>
          </w:p>
        </w:tc>
      </w:tr>
      <w:tr w14:paraId="50B7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005" w:type="pct"/>
            <w:vAlign w:val="center"/>
          </w:tcPr>
          <w:p w14:paraId="6DE835A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再热蒸汽流量</w:t>
            </w:r>
          </w:p>
        </w:tc>
        <w:tc>
          <w:tcPr>
            <w:tcW w:w="959" w:type="pct"/>
            <w:vAlign w:val="center"/>
          </w:tcPr>
          <w:p w14:paraId="02FECC4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t/h</w:t>
            </w:r>
          </w:p>
        </w:tc>
        <w:tc>
          <w:tcPr>
            <w:tcW w:w="2037" w:type="pct"/>
            <w:vAlign w:val="center"/>
          </w:tcPr>
          <w:p w14:paraId="1290600B">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1682.7</w:t>
            </w:r>
          </w:p>
        </w:tc>
      </w:tr>
      <w:tr w14:paraId="2C1E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CB2EB9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再热蒸汽进口压力</w:t>
            </w:r>
          </w:p>
        </w:tc>
        <w:tc>
          <w:tcPr>
            <w:tcW w:w="959" w:type="pct"/>
            <w:vAlign w:val="center"/>
          </w:tcPr>
          <w:p w14:paraId="2B026C2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448FC08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6.354</w:t>
            </w:r>
          </w:p>
        </w:tc>
      </w:tr>
      <w:tr w14:paraId="2D2B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5E9973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再热蒸汽出口压力</w:t>
            </w:r>
          </w:p>
        </w:tc>
        <w:tc>
          <w:tcPr>
            <w:tcW w:w="959" w:type="pct"/>
            <w:vAlign w:val="center"/>
          </w:tcPr>
          <w:p w14:paraId="2D36718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28674A83">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6.061</w:t>
            </w:r>
          </w:p>
        </w:tc>
      </w:tr>
      <w:tr w14:paraId="7987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858715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再热蒸汽进口温度</w:t>
            </w:r>
          </w:p>
        </w:tc>
        <w:tc>
          <w:tcPr>
            <w:tcW w:w="959" w:type="pct"/>
            <w:vAlign w:val="center"/>
          </w:tcPr>
          <w:p w14:paraId="02C2B6B6">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69C40326">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366.6</w:t>
            </w:r>
          </w:p>
        </w:tc>
      </w:tr>
      <w:tr w14:paraId="4761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494E633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再热蒸汽出口温度</w:t>
            </w:r>
          </w:p>
        </w:tc>
        <w:tc>
          <w:tcPr>
            <w:tcW w:w="959" w:type="pct"/>
            <w:vAlign w:val="center"/>
          </w:tcPr>
          <w:p w14:paraId="48F9687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E8612B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623</w:t>
            </w:r>
          </w:p>
        </w:tc>
      </w:tr>
      <w:tr w14:paraId="195D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7954401">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给水温度</w:t>
            </w:r>
          </w:p>
        </w:tc>
        <w:tc>
          <w:tcPr>
            <w:tcW w:w="959" w:type="pct"/>
            <w:vAlign w:val="center"/>
          </w:tcPr>
          <w:p w14:paraId="3A6D424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241B26A">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305.2</w:t>
            </w:r>
          </w:p>
        </w:tc>
      </w:tr>
      <w:tr w14:paraId="2909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7511968">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锅炉保证效率</w:t>
            </w:r>
          </w:p>
        </w:tc>
        <w:tc>
          <w:tcPr>
            <w:tcW w:w="959" w:type="pct"/>
            <w:vAlign w:val="center"/>
          </w:tcPr>
          <w:p w14:paraId="3F435F2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978AFA8">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92.8</w:t>
            </w:r>
          </w:p>
        </w:tc>
      </w:tr>
      <w:tr w14:paraId="542A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3D285EE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不投油最低稳燃负荷</w:t>
            </w:r>
          </w:p>
        </w:tc>
        <w:tc>
          <w:tcPr>
            <w:tcW w:w="959" w:type="pct"/>
            <w:vAlign w:val="center"/>
          </w:tcPr>
          <w:p w14:paraId="10FA1B2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25AC294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≤35%BMCR</w:t>
            </w:r>
          </w:p>
        </w:tc>
      </w:tr>
      <w:tr w14:paraId="492D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627EDF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锅炉点火方式</w:t>
            </w:r>
          </w:p>
        </w:tc>
        <w:tc>
          <w:tcPr>
            <w:tcW w:w="959" w:type="pct"/>
            <w:vAlign w:val="center"/>
          </w:tcPr>
          <w:p w14:paraId="04BA648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86D806B">
            <w:pPr>
              <w:spacing w:line="320" w:lineRule="exact"/>
              <w:jc w:val="center"/>
              <w:rPr>
                <w:rFonts w:cs="Times New Roman" w:asciiTheme="minorEastAsia" w:hAnsiTheme="minorEastAsia" w:eastAsiaTheme="minorEastAsia"/>
                <w:color w:val="auto"/>
                <w:sz w:val="24"/>
                <w:szCs w:val="24"/>
                <w:highlight w:val="none"/>
                <w:lang w:eastAsia="zh-CN"/>
              </w:rPr>
            </w:pPr>
            <w:r>
              <w:rPr>
                <w:rFonts w:cs="Times New Roman" w:asciiTheme="minorEastAsia" w:hAnsiTheme="minorEastAsia" w:eastAsiaTheme="minorEastAsia"/>
                <w:color w:val="auto"/>
                <w:sz w:val="24"/>
                <w:szCs w:val="24"/>
                <w:highlight w:val="none"/>
                <w:lang w:eastAsia="zh-CN"/>
              </w:rPr>
              <w:t>常规油点火＋少油点火</w:t>
            </w:r>
          </w:p>
        </w:tc>
      </w:tr>
    </w:tbl>
    <w:p w14:paraId="75756E12">
      <w:pPr>
        <w:jc w:val="center"/>
        <w:rPr>
          <w:rFonts w:ascii="Arial Narrow" w:hAnsi="Arial Narrow" w:cs="Times New Roman"/>
          <w:color w:val="auto"/>
          <w:sz w:val="24"/>
          <w:szCs w:val="24"/>
          <w:highlight w:val="none"/>
        </w:rPr>
      </w:pPr>
    </w:p>
    <w:p w14:paraId="461C9215">
      <w:pPr>
        <w:ind w:firstLine="48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技术协议签订时设计煤质参数如下：</w:t>
      </w:r>
    </w:p>
    <w:p w14:paraId="4B162FA3">
      <w:pPr>
        <w:spacing w:line="40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表</w:t>
      </w:r>
      <w:r>
        <w:rPr>
          <w:rFonts w:cs="Arial Narrow" w:asciiTheme="minorEastAsia" w:hAnsiTheme="minorEastAsia" w:eastAsiaTheme="minorEastAsia"/>
          <w:color w:val="auto"/>
          <w:sz w:val="24"/>
          <w:szCs w:val="24"/>
          <w:highlight w:val="none"/>
        </w:rPr>
        <w:t xml:space="preserve">2.3 </w:t>
      </w:r>
      <w:r>
        <w:rPr>
          <w:rFonts w:hint="eastAsia" w:asciiTheme="minorEastAsia" w:hAnsiTheme="minorEastAsia" w:eastAsiaTheme="minorEastAsia"/>
          <w:color w:val="auto"/>
          <w:sz w:val="24"/>
          <w:szCs w:val="24"/>
          <w:highlight w:val="none"/>
        </w:rPr>
        <w:t>设计煤种分析</w:t>
      </w:r>
    </w:p>
    <w:tbl>
      <w:tblPr>
        <w:tblStyle w:val="58"/>
        <w:tblW w:w="4826"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67"/>
        <w:gridCol w:w="1059"/>
        <w:gridCol w:w="1259"/>
        <w:gridCol w:w="1572"/>
        <w:gridCol w:w="1383"/>
        <w:gridCol w:w="1325"/>
      </w:tblGrid>
      <w:tr w14:paraId="0718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25FA051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燃煤资料</w:t>
            </w:r>
          </w:p>
        </w:tc>
        <w:tc>
          <w:tcPr>
            <w:tcW w:w="604" w:type="pct"/>
            <w:vAlign w:val="center"/>
          </w:tcPr>
          <w:p w14:paraId="19DE27B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符号</w:t>
            </w:r>
          </w:p>
        </w:tc>
        <w:tc>
          <w:tcPr>
            <w:tcW w:w="718" w:type="pct"/>
            <w:vAlign w:val="center"/>
          </w:tcPr>
          <w:p w14:paraId="05DA5D3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单位</w:t>
            </w:r>
          </w:p>
        </w:tc>
        <w:tc>
          <w:tcPr>
            <w:tcW w:w="897" w:type="pct"/>
            <w:vAlign w:val="center"/>
          </w:tcPr>
          <w:p w14:paraId="7C181AA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设计煤种</w:t>
            </w:r>
          </w:p>
        </w:tc>
        <w:tc>
          <w:tcPr>
            <w:tcW w:w="789" w:type="pct"/>
            <w:vAlign w:val="center"/>
          </w:tcPr>
          <w:p w14:paraId="6000925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校核煤种1</w:t>
            </w:r>
          </w:p>
        </w:tc>
        <w:tc>
          <w:tcPr>
            <w:tcW w:w="756" w:type="pct"/>
            <w:vAlign w:val="center"/>
          </w:tcPr>
          <w:p w14:paraId="5933DF4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校核煤种2</w:t>
            </w:r>
          </w:p>
        </w:tc>
      </w:tr>
      <w:tr w14:paraId="3F8D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2F72987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收到基碳分</w:t>
            </w:r>
          </w:p>
        </w:tc>
        <w:tc>
          <w:tcPr>
            <w:tcW w:w="604" w:type="pct"/>
            <w:vAlign w:val="center"/>
          </w:tcPr>
          <w:p w14:paraId="6C7DB8A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Car</w:t>
            </w:r>
          </w:p>
        </w:tc>
        <w:tc>
          <w:tcPr>
            <w:tcW w:w="718" w:type="pct"/>
            <w:vAlign w:val="center"/>
          </w:tcPr>
          <w:p w14:paraId="3E5B88E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3B38376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54.95</w:t>
            </w:r>
          </w:p>
        </w:tc>
        <w:tc>
          <w:tcPr>
            <w:tcW w:w="789" w:type="pct"/>
            <w:vAlign w:val="center"/>
          </w:tcPr>
          <w:p w14:paraId="1B4CB6E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46.62</w:t>
            </w:r>
          </w:p>
        </w:tc>
        <w:tc>
          <w:tcPr>
            <w:tcW w:w="756" w:type="pct"/>
            <w:vAlign w:val="center"/>
          </w:tcPr>
          <w:p w14:paraId="275C982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58.80</w:t>
            </w:r>
          </w:p>
        </w:tc>
      </w:tr>
      <w:tr w14:paraId="59F9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DECDE7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收到基氢分</w:t>
            </w:r>
          </w:p>
        </w:tc>
        <w:tc>
          <w:tcPr>
            <w:tcW w:w="604" w:type="pct"/>
            <w:vAlign w:val="center"/>
          </w:tcPr>
          <w:p w14:paraId="75D22E5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Har</w:t>
            </w:r>
          </w:p>
        </w:tc>
        <w:tc>
          <w:tcPr>
            <w:tcW w:w="718" w:type="pct"/>
            <w:vAlign w:val="center"/>
          </w:tcPr>
          <w:p w14:paraId="05A91EB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8AE1E5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3.77</w:t>
            </w:r>
          </w:p>
        </w:tc>
        <w:tc>
          <w:tcPr>
            <w:tcW w:w="789" w:type="pct"/>
            <w:vAlign w:val="center"/>
          </w:tcPr>
          <w:p w14:paraId="30BDA66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3.22</w:t>
            </w:r>
          </w:p>
        </w:tc>
        <w:tc>
          <w:tcPr>
            <w:tcW w:w="756" w:type="pct"/>
            <w:vAlign w:val="center"/>
          </w:tcPr>
          <w:p w14:paraId="59DA30D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3.78</w:t>
            </w:r>
          </w:p>
        </w:tc>
      </w:tr>
      <w:tr w14:paraId="66ED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4E5D1B0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收到基氧分</w:t>
            </w:r>
          </w:p>
        </w:tc>
        <w:tc>
          <w:tcPr>
            <w:tcW w:w="604" w:type="pct"/>
            <w:vAlign w:val="center"/>
          </w:tcPr>
          <w:p w14:paraId="35D94B4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Oar</w:t>
            </w:r>
          </w:p>
        </w:tc>
        <w:tc>
          <w:tcPr>
            <w:tcW w:w="718" w:type="pct"/>
            <w:vAlign w:val="center"/>
          </w:tcPr>
          <w:p w14:paraId="4326325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5238E4E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8.69</w:t>
            </w:r>
          </w:p>
        </w:tc>
        <w:tc>
          <w:tcPr>
            <w:tcW w:w="789" w:type="pct"/>
            <w:vAlign w:val="center"/>
          </w:tcPr>
          <w:p w14:paraId="379367F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8.43</w:t>
            </w:r>
          </w:p>
        </w:tc>
        <w:tc>
          <w:tcPr>
            <w:tcW w:w="756" w:type="pct"/>
            <w:vAlign w:val="center"/>
          </w:tcPr>
          <w:p w14:paraId="66D6DF8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6.94</w:t>
            </w:r>
          </w:p>
        </w:tc>
      </w:tr>
      <w:tr w14:paraId="053C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7547369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收到基氮分</w:t>
            </w:r>
          </w:p>
        </w:tc>
        <w:tc>
          <w:tcPr>
            <w:tcW w:w="604" w:type="pct"/>
            <w:vAlign w:val="center"/>
          </w:tcPr>
          <w:p w14:paraId="070DE6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Nar</w:t>
            </w:r>
          </w:p>
        </w:tc>
        <w:tc>
          <w:tcPr>
            <w:tcW w:w="718" w:type="pct"/>
            <w:vAlign w:val="center"/>
          </w:tcPr>
          <w:p w14:paraId="71E5CE2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6E014F2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0.91</w:t>
            </w:r>
          </w:p>
        </w:tc>
        <w:tc>
          <w:tcPr>
            <w:tcW w:w="789" w:type="pct"/>
            <w:vAlign w:val="center"/>
          </w:tcPr>
          <w:p w14:paraId="22C5AD6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0.79</w:t>
            </w:r>
          </w:p>
        </w:tc>
        <w:tc>
          <w:tcPr>
            <w:tcW w:w="756" w:type="pct"/>
            <w:vAlign w:val="center"/>
          </w:tcPr>
          <w:p w14:paraId="507B9E3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0.73</w:t>
            </w:r>
          </w:p>
        </w:tc>
      </w:tr>
      <w:tr w14:paraId="1731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7E7E3AD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收到基硫分</w:t>
            </w:r>
          </w:p>
        </w:tc>
        <w:tc>
          <w:tcPr>
            <w:tcW w:w="604" w:type="pct"/>
            <w:vAlign w:val="center"/>
          </w:tcPr>
          <w:p w14:paraId="296B4EE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St.ar</w:t>
            </w:r>
          </w:p>
        </w:tc>
        <w:tc>
          <w:tcPr>
            <w:tcW w:w="718" w:type="pct"/>
            <w:vAlign w:val="center"/>
          </w:tcPr>
          <w:p w14:paraId="0F1003F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50807C1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0.51</w:t>
            </w:r>
          </w:p>
        </w:tc>
        <w:tc>
          <w:tcPr>
            <w:tcW w:w="789" w:type="pct"/>
            <w:vAlign w:val="center"/>
          </w:tcPr>
          <w:p w14:paraId="62D13DE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0.60</w:t>
            </w:r>
          </w:p>
        </w:tc>
        <w:tc>
          <w:tcPr>
            <w:tcW w:w="756" w:type="pct"/>
            <w:vAlign w:val="center"/>
          </w:tcPr>
          <w:p w14:paraId="5CFD81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1.5</w:t>
            </w:r>
          </w:p>
        </w:tc>
      </w:tr>
      <w:tr w14:paraId="78C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1A40A9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收到基全水分</w:t>
            </w:r>
          </w:p>
        </w:tc>
        <w:tc>
          <w:tcPr>
            <w:tcW w:w="604" w:type="pct"/>
            <w:vAlign w:val="center"/>
          </w:tcPr>
          <w:p w14:paraId="5ED127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Mt</w:t>
            </w:r>
          </w:p>
        </w:tc>
        <w:tc>
          <w:tcPr>
            <w:tcW w:w="718" w:type="pct"/>
            <w:vAlign w:val="center"/>
          </w:tcPr>
          <w:p w14:paraId="1F12316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7C9AB4A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7.8</w:t>
            </w:r>
          </w:p>
        </w:tc>
        <w:tc>
          <w:tcPr>
            <w:tcW w:w="789" w:type="pct"/>
            <w:vAlign w:val="center"/>
          </w:tcPr>
          <w:p w14:paraId="4F94BAD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10</w:t>
            </w:r>
          </w:p>
        </w:tc>
        <w:tc>
          <w:tcPr>
            <w:tcW w:w="756" w:type="pct"/>
            <w:vAlign w:val="center"/>
          </w:tcPr>
          <w:p w14:paraId="1E8F75D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11.3</w:t>
            </w:r>
          </w:p>
        </w:tc>
      </w:tr>
      <w:tr w14:paraId="4CCC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43FBDA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收到基灰分</w:t>
            </w:r>
          </w:p>
        </w:tc>
        <w:tc>
          <w:tcPr>
            <w:tcW w:w="604" w:type="pct"/>
            <w:vAlign w:val="center"/>
          </w:tcPr>
          <w:p w14:paraId="2B6FBA4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Aar</w:t>
            </w:r>
          </w:p>
        </w:tc>
        <w:tc>
          <w:tcPr>
            <w:tcW w:w="718" w:type="pct"/>
            <w:vAlign w:val="center"/>
          </w:tcPr>
          <w:p w14:paraId="0BC5405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72EAAF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23.37</w:t>
            </w:r>
          </w:p>
        </w:tc>
        <w:tc>
          <w:tcPr>
            <w:tcW w:w="789" w:type="pct"/>
            <w:vAlign w:val="center"/>
          </w:tcPr>
          <w:p w14:paraId="05842AC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30.34</w:t>
            </w:r>
          </w:p>
        </w:tc>
        <w:tc>
          <w:tcPr>
            <w:tcW w:w="756" w:type="pct"/>
            <w:vAlign w:val="center"/>
          </w:tcPr>
          <w:p w14:paraId="2B2DE40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16.95</w:t>
            </w:r>
          </w:p>
        </w:tc>
      </w:tr>
      <w:tr w14:paraId="67AE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2D0424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空气干燥基水分</w:t>
            </w:r>
          </w:p>
        </w:tc>
        <w:tc>
          <w:tcPr>
            <w:tcW w:w="604" w:type="pct"/>
            <w:vAlign w:val="center"/>
          </w:tcPr>
          <w:p w14:paraId="1423D24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Mad</w:t>
            </w:r>
          </w:p>
        </w:tc>
        <w:tc>
          <w:tcPr>
            <w:tcW w:w="718" w:type="pct"/>
            <w:vAlign w:val="center"/>
          </w:tcPr>
          <w:p w14:paraId="0D199CB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4439E41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1.50</w:t>
            </w:r>
          </w:p>
        </w:tc>
        <w:tc>
          <w:tcPr>
            <w:tcW w:w="789" w:type="pct"/>
            <w:vAlign w:val="center"/>
          </w:tcPr>
          <w:p w14:paraId="146FA82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1.46</w:t>
            </w:r>
          </w:p>
        </w:tc>
        <w:tc>
          <w:tcPr>
            <w:tcW w:w="756" w:type="pct"/>
            <w:vAlign w:val="center"/>
          </w:tcPr>
          <w:p w14:paraId="2915B4A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3.84</w:t>
            </w:r>
          </w:p>
        </w:tc>
      </w:tr>
      <w:tr w14:paraId="2521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C2989C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收到基低位发热量</w:t>
            </w:r>
          </w:p>
        </w:tc>
        <w:tc>
          <w:tcPr>
            <w:tcW w:w="604" w:type="pct"/>
            <w:vAlign w:val="center"/>
          </w:tcPr>
          <w:p w14:paraId="498156D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Qnet.ar</w:t>
            </w:r>
          </w:p>
        </w:tc>
        <w:tc>
          <w:tcPr>
            <w:tcW w:w="718" w:type="pct"/>
            <w:vAlign w:val="center"/>
          </w:tcPr>
          <w:p w14:paraId="3D2FFB5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MJ/kg</w:t>
            </w:r>
          </w:p>
        </w:tc>
        <w:tc>
          <w:tcPr>
            <w:tcW w:w="897" w:type="pct"/>
            <w:vAlign w:val="center"/>
          </w:tcPr>
          <w:p w14:paraId="663CF8C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21.40</w:t>
            </w:r>
          </w:p>
        </w:tc>
        <w:tc>
          <w:tcPr>
            <w:tcW w:w="789" w:type="pct"/>
            <w:vAlign w:val="center"/>
          </w:tcPr>
          <w:p w14:paraId="62B27C6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17.89</w:t>
            </w:r>
          </w:p>
        </w:tc>
        <w:tc>
          <w:tcPr>
            <w:tcW w:w="756" w:type="pct"/>
            <w:vAlign w:val="center"/>
          </w:tcPr>
          <w:p w14:paraId="55E49AD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23.03</w:t>
            </w:r>
          </w:p>
        </w:tc>
      </w:tr>
      <w:tr w14:paraId="50F5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A1DE8D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干燥无灰基挥发分</w:t>
            </w:r>
          </w:p>
        </w:tc>
        <w:tc>
          <w:tcPr>
            <w:tcW w:w="604" w:type="pct"/>
            <w:vAlign w:val="center"/>
          </w:tcPr>
          <w:p w14:paraId="169F74F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Vdaf</w:t>
            </w:r>
          </w:p>
        </w:tc>
        <w:tc>
          <w:tcPr>
            <w:tcW w:w="718" w:type="pct"/>
            <w:vAlign w:val="center"/>
          </w:tcPr>
          <w:p w14:paraId="2E04D26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A2E22A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38.64</w:t>
            </w:r>
          </w:p>
        </w:tc>
        <w:tc>
          <w:tcPr>
            <w:tcW w:w="789" w:type="pct"/>
            <w:vAlign w:val="center"/>
          </w:tcPr>
          <w:p w14:paraId="79DEF41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39.43</w:t>
            </w:r>
          </w:p>
        </w:tc>
        <w:tc>
          <w:tcPr>
            <w:tcW w:w="756" w:type="pct"/>
            <w:vAlign w:val="center"/>
          </w:tcPr>
          <w:p w14:paraId="73B387E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38.94</w:t>
            </w:r>
          </w:p>
        </w:tc>
      </w:tr>
      <w:tr w14:paraId="4ADF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632F30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可磨性系数</w:t>
            </w:r>
          </w:p>
        </w:tc>
        <w:tc>
          <w:tcPr>
            <w:tcW w:w="604" w:type="pct"/>
            <w:vAlign w:val="center"/>
          </w:tcPr>
          <w:p w14:paraId="1443786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HGI</w:t>
            </w:r>
          </w:p>
        </w:tc>
        <w:tc>
          <w:tcPr>
            <w:tcW w:w="718" w:type="pct"/>
            <w:vAlign w:val="center"/>
          </w:tcPr>
          <w:p w14:paraId="79B5D2FB">
            <w:pPr>
              <w:spacing w:line="320" w:lineRule="exact"/>
              <w:jc w:val="center"/>
              <w:rPr>
                <w:rFonts w:cs="Times New Roman" w:asciiTheme="minorEastAsia" w:hAnsiTheme="minorEastAsia" w:eastAsiaTheme="minorEastAsia"/>
                <w:color w:val="auto"/>
                <w:sz w:val="24"/>
                <w:szCs w:val="24"/>
                <w:highlight w:val="none"/>
              </w:rPr>
            </w:pPr>
          </w:p>
        </w:tc>
        <w:tc>
          <w:tcPr>
            <w:tcW w:w="897" w:type="pct"/>
            <w:vAlign w:val="center"/>
          </w:tcPr>
          <w:p w14:paraId="56B800B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59</w:t>
            </w:r>
          </w:p>
        </w:tc>
        <w:tc>
          <w:tcPr>
            <w:tcW w:w="789" w:type="pct"/>
            <w:vAlign w:val="center"/>
          </w:tcPr>
          <w:p w14:paraId="4FD5592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64</w:t>
            </w:r>
          </w:p>
        </w:tc>
        <w:tc>
          <w:tcPr>
            <w:tcW w:w="756" w:type="pct"/>
            <w:vAlign w:val="center"/>
          </w:tcPr>
          <w:p w14:paraId="3D3D305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67</w:t>
            </w:r>
          </w:p>
        </w:tc>
      </w:tr>
      <w:tr w14:paraId="701A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CB7D38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氯含量</w:t>
            </w:r>
          </w:p>
        </w:tc>
        <w:tc>
          <w:tcPr>
            <w:tcW w:w="604" w:type="pct"/>
            <w:vAlign w:val="center"/>
          </w:tcPr>
          <w:p w14:paraId="746BD4C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Clar</w:t>
            </w:r>
          </w:p>
        </w:tc>
        <w:tc>
          <w:tcPr>
            <w:tcW w:w="718" w:type="pct"/>
            <w:vAlign w:val="center"/>
          </w:tcPr>
          <w:p w14:paraId="12BD55E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7F9EE50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0.030</w:t>
            </w:r>
          </w:p>
        </w:tc>
        <w:tc>
          <w:tcPr>
            <w:tcW w:w="789" w:type="pct"/>
            <w:vAlign w:val="center"/>
          </w:tcPr>
          <w:p w14:paraId="36660C0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0.058</w:t>
            </w:r>
          </w:p>
        </w:tc>
        <w:tc>
          <w:tcPr>
            <w:tcW w:w="756" w:type="pct"/>
            <w:vAlign w:val="center"/>
          </w:tcPr>
          <w:p w14:paraId="0A2118F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0.013</w:t>
            </w:r>
          </w:p>
        </w:tc>
      </w:tr>
      <w:tr w14:paraId="3DD8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7176A2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氟含量</w:t>
            </w:r>
          </w:p>
        </w:tc>
        <w:tc>
          <w:tcPr>
            <w:tcW w:w="604" w:type="pct"/>
            <w:vAlign w:val="center"/>
          </w:tcPr>
          <w:p w14:paraId="3C868B4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Far</w:t>
            </w:r>
          </w:p>
        </w:tc>
        <w:tc>
          <w:tcPr>
            <w:tcW w:w="718" w:type="pct"/>
            <w:vAlign w:val="center"/>
          </w:tcPr>
          <w:p w14:paraId="3A213C0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ug/g</w:t>
            </w:r>
          </w:p>
        </w:tc>
        <w:tc>
          <w:tcPr>
            <w:tcW w:w="897" w:type="pct"/>
            <w:vAlign w:val="center"/>
          </w:tcPr>
          <w:p w14:paraId="5272E43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193</w:t>
            </w:r>
          </w:p>
        </w:tc>
        <w:tc>
          <w:tcPr>
            <w:tcW w:w="789" w:type="pct"/>
            <w:vAlign w:val="center"/>
          </w:tcPr>
          <w:p w14:paraId="0B58052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214</w:t>
            </w:r>
          </w:p>
        </w:tc>
        <w:tc>
          <w:tcPr>
            <w:tcW w:w="756" w:type="pct"/>
            <w:vAlign w:val="center"/>
          </w:tcPr>
          <w:p w14:paraId="55EFCCB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111</w:t>
            </w:r>
          </w:p>
        </w:tc>
      </w:tr>
      <w:tr w14:paraId="71B6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57AC70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汞</w:t>
            </w:r>
          </w:p>
        </w:tc>
        <w:tc>
          <w:tcPr>
            <w:tcW w:w="604" w:type="pct"/>
            <w:vAlign w:val="center"/>
          </w:tcPr>
          <w:p w14:paraId="51430E5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HGar</w:t>
            </w:r>
          </w:p>
        </w:tc>
        <w:tc>
          <w:tcPr>
            <w:tcW w:w="718" w:type="pct"/>
            <w:vAlign w:val="center"/>
          </w:tcPr>
          <w:p w14:paraId="2076D0E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ug/g</w:t>
            </w:r>
          </w:p>
        </w:tc>
        <w:tc>
          <w:tcPr>
            <w:tcW w:w="897" w:type="pct"/>
            <w:vAlign w:val="center"/>
          </w:tcPr>
          <w:p w14:paraId="51A8E5D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0.066</w:t>
            </w:r>
          </w:p>
        </w:tc>
        <w:tc>
          <w:tcPr>
            <w:tcW w:w="789" w:type="pct"/>
            <w:vAlign w:val="center"/>
          </w:tcPr>
          <w:p w14:paraId="3490DA8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0.104</w:t>
            </w:r>
          </w:p>
        </w:tc>
        <w:tc>
          <w:tcPr>
            <w:tcW w:w="756" w:type="pct"/>
            <w:vAlign w:val="center"/>
          </w:tcPr>
          <w:p w14:paraId="6667A8A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0.113</w:t>
            </w:r>
          </w:p>
        </w:tc>
      </w:tr>
      <w:tr w14:paraId="683D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C66E31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煤的冲刷磨损指数</w:t>
            </w:r>
          </w:p>
        </w:tc>
        <w:tc>
          <w:tcPr>
            <w:tcW w:w="604" w:type="pct"/>
            <w:vAlign w:val="center"/>
          </w:tcPr>
          <w:p w14:paraId="3F1A69C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Ke</w:t>
            </w:r>
          </w:p>
        </w:tc>
        <w:tc>
          <w:tcPr>
            <w:tcW w:w="718" w:type="pct"/>
            <w:vAlign w:val="center"/>
          </w:tcPr>
          <w:p w14:paraId="6559A426">
            <w:pPr>
              <w:spacing w:line="320" w:lineRule="exact"/>
              <w:jc w:val="center"/>
              <w:rPr>
                <w:rFonts w:cs="Times New Roman" w:asciiTheme="minorEastAsia" w:hAnsiTheme="minorEastAsia" w:eastAsiaTheme="minorEastAsia"/>
                <w:color w:val="auto"/>
                <w:sz w:val="24"/>
                <w:szCs w:val="24"/>
                <w:highlight w:val="none"/>
              </w:rPr>
            </w:pPr>
          </w:p>
        </w:tc>
        <w:tc>
          <w:tcPr>
            <w:tcW w:w="897" w:type="pct"/>
            <w:vAlign w:val="center"/>
          </w:tcPr>
          <w:p w14:paraId="7C8D968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w:t>
            </w:r>
          </w:p>
        </w:tc>
        <w:tc>
          <w:tcPr>
            <w:tcW w:w="789" w:type="pct"/>
            <w:vAlign w:val="center"/>
          </w:tcPr>
          <w:p w14:paraId="46D2044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0.5</w:t>
            </w:r>
          </w:p>
        </w:tc>
        <w:tc>
          <w:tcPr>
            <w:tcW w:w="756" w:type="pct"/>
            <w:vAlign w:val="center"/>
          </w:tcPr>
          <w:p w14:paraId="4EC94A2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2.8</w:t>
            </w:r>
          </w:p>
        </w:tc>
      </w:tr>
    </w:tbl>
    <w:p w14:paraId="00DE594D">
      <w:pPr>
        <w:spacing w:line="400" w:lineRule="exact"/>
        <w:rPr>
          <w:rFonts w:ascii="宋体" w:hAnsi="宋体" w:eastAsia="宋体"/>
          <w:color w:val="auto"/>
          <w:sz w:val="24"/>
          <w:szCs w:val="24"/>
          <w:highlight w:val="none"/>
        </w:rPr>
      </w:pPr>
      <w:r>
        <w:rPr>
          <w:rFonts w:hint="eastAsia" w:ascii="宋体" w:hAnsi="宋体" w:eastAsia="宋体" w:cs="Times New Roman"/>
          <w:color w:val="auto"/>
          <w:kern w:val="2"/>
          <w:sz w:val="24"/>
          <w:szCs w:val="24"/>
          <w:highlight w:val="none"/>
          <w:lang w:val="zh-CN"/>
        </w:rPr>
        <w:t>2</w:t>
      </w:r>
      <w:bookmarkEnd w:id="24"/>
      <w:bookmarkEnd w:id="25"/>
      <w:bookmarkEnd w:id="26"/>
      <w:r>
        <w:rPr>
          <w:rFonts w:hint="eastAsia" w:ascii="宋体" w:hAnsi="宋体" w:eastAsia="宋体" w:cs="Times New Roman"/>
          <w:color w:val="auto"/>
          <w:kern w:val="2"/>
          <w:sz w:val="24"/>
          <w:szCs w:val="24"/>
          <w:highlight w:val="none"/>
          <w:lang w:val="zh-CN"/>
        </w:rPr>
        <w:t>.2</w:t>
      </w:r>
      <w:r>
        <w:rPr>
          <w:rFonts w:ascii="宋体" w:hAnsi="宋体" w:eastAsia="宋体" w:cs="Times New Roman"/>
          <w:color w:val="auto"/>
          <w:kern w:val="2"/>
          <w:sz w:val="24"/>
          <w:szCs w:val="24"/>
          <w:highlight w:val="none"/>
        </w:rPr>
        <w:t>项目</w:t>
      </w:r>
      <w:r>
        <w:rPr>
          <w:rFonts w:hint="eastAsia" w:ascii="宋体" w:hAnsi="宋体" w:eastAsia="宋体" w:cs="Times New Roman"/>
          <w:color w:val="auto"/>
          <w:kern w:val="2"/>
          <w:sz w:val="24"/>
          <w:szCs w:val="24"/>
          <w:highlight w:val="none"/>
          <w:lang w:val="zh-CN"/>
        </w:rPr>
        <w:t>现场条件</w:t>
      </w:r>
      <w:bookmarkEnd w:id="27"/>
    </w:p>
    <w:p w14:paraId="3C3E6FEA">
      <w:pPr>
        <w:pStyle w:val="87"/>
        <w:numPr>
          <w:ilvl w:val="2"/>
          <w:numId w:val="7"/>
        </w:numPr>
        <w:spacing w:line="360" w:lineRule="auto"/>
        <w:ind w:firstLineChars="0"/>
        <w:rPr>
          <w:snapToGrid w:val="0"/>
          <w:color w:val="auto"/>
          <w:sz w:val="24"/>
          <w:szCs w:val="24"/>
          <w:highlight w:val="none"/>
          <w:lang w:eastAsia="zh-CN"/>
        </w:rPr>
      </w:pPr>
      <w:r>
        <w:rPr>
          <w:rFonts w:hint="eastAsia"/>
          <w:snapToGrid w:val="0"/>
          <w:color w:val="auto"/>
          <w:sz w:val="24"/>
          <w:szCs w:val="24"/>
          <w:highlight w:val="none"/>
          <w:lang w:eastAsia="zh-CN"/>
        </w:rPr>
        <w:t>厂址条件</w:t>
      </w:r>
    </w:p>
    <w:p w14:paraId="0C692F40">
      <w:pPr>
        <w:tabs>
          <w:tab w:val="left" w:pos="90"/>
        </w:tabs>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万基</w:t>
      </w:r>
      <w:r>
        <w:rPr>
          <w:rFonts w:hint="eastAsia" w:ascii="宋体" w:hAnsi="宋体" w:eastAsia="宋体" w:cs="Arial"/>
          <w:snapToGrid w:val="0"/>
          <w:color w:val="auto"/>
          <w:sz w:val="24"/>
          <w:szCs w:val="24"/>
          <w:highlight w:val="none"/>
        </w:rPr>
        <w:t>宏远</w:t>
      </w:r>
      <w:r>
        <w:rPr>
          <w:rFonts w:ascii="宋体" w:hAnsi="宋体" w:eastAsia="宋体" w:cs="Arial"/>
          <w:snapToGrid w:val="0"/>
          <w:color w:val="auto"/>
          <w:sz w:val="24"/>
          <w:szCs w:val="24"/>
          <w:highlight w:val="none"/>
        </w:rPr>
        <w:t>电厂位于河南省洛阳市新安县铁门镇庙头村，南</w:t>
      </w:r>
      <w:r>
        <w:rPr>
          <w:rFonts w:hint="eastAsia" w:ascii="宋体" w:hAnsi="宋体" w:eastAsia="宋体" w:cs="Arial"/>
          <w:snapToGrid w:val="0"/>
          <w:color w:val="auto"/>
          <w:sz w:val="24"/>
          <w:szCs w:val="24"/>
          <w:highlight w:val="none"/>
        </w:rPr>
        <w:t>距</w:t>
      </w:r>
      <w:r>
        <w:rPr>
          <w:rFonts w:ascii="宋体" w:hAnsi="宋体" w:eastAsia="宋体" w:cs="Arial"/>
          <w:snapToGrid w:val="0"/>
          <w:color w:val="auto"/>
          <w:sz w:val="24"/>
          <w:szCs w:val="24"/>
          <w:highlight w:val="none"/>
        </w:rPr>
        <w:t>陇海铁路</w:t>
      </w:r>
      <w:r>
        <w:rPr>
          <w:rFonts w:hint="eastAsia" w:ascii="宋体" w:hAnsi="宋体" w:eastAsia="宋体" w:cs="Arial"/>
          <w:snapToGrid w:val="0"/>
          <w:color w:val="auto"/>
          <w:sz w:val="24"/>
          <w:szCs w:val="24"/>
          <w:highlight w:val="none"/>
        </w:rPr>
        <w:t>7</w:t>
      </w:r>
      <w:r>
        <w:rPr>
          <w:rFonts w:ascii="宋体" w:hAnsi="宋体" w:eastAsia="宋体" w:cs="Arial"/>
          <w:snapToGrid w:val="0"/>
          <w:color w:val="auto"/>
          <w:sz w:val="24"/>
          <w:szCs w:val="24"/>
          <w:highlight w:val="none"/>
        </w:rPr>
        <w:t>00m，北距310国道</w:t>
      </w:r>
      <w:r>
        <w:rPr>
          <w:rFonts w:hint="eastAsia" w:ascii="宋体" w:hAnsi="宋体" w:eastAsia="宋体" w:cs="Arial"/>
          <w:snapToGrid w:val="0"/>
          <w:color w:val="auto"/>
          <w:sz w:val="24"/>
          <w:szCs w:val="24"/>
          <w:highlight w:val="none"/>
        </w:rPr>
        <w:t>1</w:t>
      </w:r>
      <w:r>
        <w:rPr>
          <w:rFonts w:ascii="宋体" w:hAnsi="宋体" w:eastAsia="宋体" w:cs="Arial"/>
          <w:snapToGrid w:val="0"/>
          <w:color w:val="auto"/>
          <w:sz w:val="24"/>
          <w:szCs w:val="24"/>
          <w:highlight w:val="none"/>
        </w:rPr>
        <w:t>70m，东距洛阳市40km，交通十分方便。</w:t>
      </w:r>
    </w:p>
    <w:p w14:paraId="0E95E549">
      <w:pPr>
        <w:tabs>
          <w:tab w:val="left" w:pos="90"/>
        </w:tabs>
        <w:spacing w:line="360" w:lineRule="auto"/>
        <w:rPr>
          <w:rFonts w:ascii="宋体" w:hAnsi="宋体" w:eastAsia="宋体" w:cs="Arial"/>
          <w:snapToGrid w:val="0"/>
          <w:color w:val="auto"/>
          <w:sz w:val="24"/>
          <w:szCs w:val="24"/>
          <w:highlight w:val="none"/>
        </w:rPr>
      </w:pPr>
      <w:r>
        <w:rPr>
          <w:rFonts w:hint="eastAsia" w:ascii="宋体" w:hAnsi="宋体" w:eastAsia="宋体"/>
          <w:snapToGrid w:val="0"/>
          <w:color w:val="auto"/>
          <w:sz w:val="24"/>
          <w:szCs w:val="24"/>
          <w:highlight w:val="none"/>
        </w:rPr>
        <w:t>2.2.2 厂区的岩土工程条件</w:t>
      </w:r>
    </w:p>
    <w:p w14:paraId="30C0D7A6">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厂址区在大地构造单元上属于中朝准地台华熊台缘坳陷的渑池</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确山陷褶断束。近场区北部为太行隆起区，东南部为秦岭隆起区的崤山～熊耳山断块隆起，中部为渑池盆地。工程场地位于豫皖断块西北部，渑池盆地东部。渑池盆地东起义马，西到观音堂，北从坡头起，向南东开口，直到洛河沿岸。此盆地在中生代就频繁升降，接受了三叠纪、侏罗纪、白垩纪河湖相及煤系地层的沉积。中生代末至晚第三纪以剥蚀为主，早更新世和中更新世以沉积为主。晚更新世至全新世，本区与周围山区一起隆起受到剥蚀，只是在盆地边缘和河谷(涧河和洛河)中有厚度不大的晚更新世、全新世风积、坡积和冲积物沉积。</w:t>
      </w:r>
    </w:p>
    <w:p w14:paraId="4CF2233C">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本期工程主厂区利用已拆除的4</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25</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＋2</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50</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＋2</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135</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机组场地，即老厂场地，自然地面标高306.0～315.0m（</w:t>
      </w:r>
      <w:r>
        <w:rPr>
          <w:rFonts w:hint="eastAsia" w:ascii="宋体" w:hAnsi="宋体" w:eastAsia="宋体"/>
          <w:color w:val="auto"/>
          <w:sz w:val="24"/>
          <w:szCs w:val="24"/>
          <w:highlight w:val="none"/>
        </w:rPr>
        <w:t>主厂房零米标高初步确定为311.45</w:t>
      </w:r>
      <w:r>
        <w:rPr>
          <w:rFonts w:ascii="宋体" w:hAnsi="宋体" w:eastAsia="宋体"/>
          <w:color w:val="auto"/>
          <w:sz w:val="24"/>
          <w:szCs w:val="24"/>
          <w:highlight w:val="none"/>
        </w:rPr>
        <w:t>m</w:t>
      </w:r>
      <w:r>
        <w:rPr>
          <w:rFonts w:hint="eastAsia" w:ascii="宋体" w:hAnsi="宋体" w:eastAsia="宋体"/>
          <w:color w:val="auto"/>
          <w:sz w:val="24"/>
          <w:szCs w:val="24"/>
          <w:highlight w:val="none"/>
        </w:rPr>
        <w:t>）</w:t>
      </w:r>
      <w:r>
        <w:rPr>
          <w:rFonts w:hint="eastAsia" w:ascii="宋体" w:hAnsi="宋体" w:eastAsia="宋体" w:cs="Arial"/>
          <w:snapToGrid w:val="0"/>
          <w:color w:val="auto"/>
          <w:sz w:val="24"/>
          <w:szCs w:val="24"/>
          <w:highlight w:val="none"/>
        </w:rPr>
        <w:t>。场地东西方向长约600</w:t>
      </w:r>
      <w:r>
        <w:rPr>
          <w:rFonts w:ascii="宋体" w:hAnsi="宋体" w:eastAsia="宋体" w:cs="Arial"/>
          <w:snapToGrid w:val="0"/>
          <w:color w:val="auto"/>
          <w:sz w:val="24"/>
          <w:szCs w:val="24"/>
          <w:highlight w:val="none"/>
        </w:rPr>
        <w:t>m</w:t>
      </w:r>
      <w:r>
        <w:rPr>
          <w:rFonts w:hint="eastAsia" w:ascii="宋体" w:hAnsi="宋体" w:eastAsia="宋体" w:cs="Arial"/>
          <w:snapToGrid w:val="0"/>
          <w:color w:val="auto"/>
          <w:sz w:val="24"/>
          <w:szCs w:val="24"/>
          <w:highlight w:val="none"/>
        </w:rPr>
        <w:t>，南北方向宽约250</w:t>
      </w:r>
      <w:r>
        <w:rPr>
          <w:rFonts w:ascii="宋体" w:hAnsi="宋体" w:eastAsia="宋体" w:cs="Arial"/>
          <w:snapToGrid w:val="0"/>
          <w:color w:val="auto"/>
          <w:sz w:val="24"/>
          <w:szCs w:val="24"/>
          <w:highlight w:val="none"/>
        </w:rPr>
        <w:t>m</w:t>
      </w:r>
      <w:r>
        <w:rPr>
          <w:rFonts w:hint="eastAsia" w:ascii="宋体" w:hAnsi="宋体" w:eastAsia="宋体" w:cs="Arial"/>
          <w:snapToGrid w:val="0"/>
          <w:color w:val="auto"/>
          <w:sz w:val="24"/>
          <w:szCs w:val="24"/>
          <w:highlight w:val="none"/>
        </w:rPr>
        <w:t>。</w:t>
      </w:r>
      <w:r>
        <w:rPr>
          <w:rFonts w:ascii="宋体" w:hAnsi="宋体" w:eastAsia="宋体" w:cs="Arial"/>
          <w:snapToGrid w:val="0"/>
          <w:color w:val="auto"/>
          <w:sz w:val="24"/>
          <w:szCs w:val="24"/>
          <w:highlight w:val="none"/>
        </w:rPr>
        <w:t>场地内岩土地层主要由杂填土和第四系冲积成因的黄土状土及冲洪积成因的粉质粘土、卵石和砂岩组成。场地平整、开阔，工程环境条件一般</w:t>
      </w:r>
      <w:r>
        <w:rPr>
          <w:rFonts w:hint="eastAsia" w:ascii="宋体" w:hAnsi="宋体" w:eastAsia="宋体" w:cs="Arial"/>
          <w:snapToGrid w:val="0"/>
          <w:color w:val="auto"/>
          <w:sz w:val="24"/>
          <w:szCs w:val="24"/>
          <w:highlight w:val="none"/>
        </w:rPr>
        <w:t>。厂址区无重要的军事及民用通讯设施，附近区域无军事及民用机场，地面无可见文物古迹，地下无矿藏。厂址区避开活动断裂，满足安全距离要求，场地相对稳定，适宜建厂。厂址场地土属于非自重湿陷性黄土场地，地基湿陷性等级为Ⅰ级。</w:t>
      </w:r>
    </w:p>
    <w:p w14:paraId="284BCAF7">
      <w:pPr>
        <w:tabs>
          <w:tab w:val="left" w:pos="90"/>
        </w:tabs>
        <w:spacing w:line="360" w:lineRule="auto"/>
        <w:rPr>
          <w:rFonts w:ascii="宋体" w:hAnsi="宋体" w:eastAsia="宋体"/>
          <w:snapToGrid w:val="0"/>
          <w:color w:val="auto"/>
          <w:sz w:val="24"/>
          <w:szCs w:val="24"/>
          <w:highlight w:val="none"/>
        </w:rPr>
      </w:pPr>
      <w:r>
        <w:rPr>
          <w:rFonts w:hint="eastAsia" w:ascii="宋体" w:hAnsi="宋体" w:eastAsia="宋体" w:cs="Arial"/>
          <w:snapToGrid w:val="0"/>
          <w:color w:val="auto"/>
          <w:sz w:val="24"/>
          <w:szCs w:val="24"/>
          <w:highlight w:val="none"/>
        </w:rPr>
        <w:t xml:space="preserve">2.2.3 </w:t>
      </w:r>
      <w:r>
        <w:rPr>
          <w:rFonts w:hint="eastAsia" w:ascii="宋体" w:hAnsi="宋体" w:eastAsia="宋体"/>
          <w:snapToGrid w:val="0"/>
          <w:color w:val="auto"/>
          <w:sz w:val="24"/>
          <w:szCs w:val="24"/>
          <w:highlight w:val="none"/>
        </w:rPr>
        <w:t>地震烈度</w:t>
      </w:r>
    </w:p>
    <w:p w14:paraId="36E79D7C">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根据最新的《中国地震动参数区划图》(GB18306-2015)，本工程拟建工程场地建筑场地类别为Ⅲ类，地震动峰值加速度和地震加速度反应周期需要调整。调整后拟建工程场地地震动峰值加速度为0.125g，对应地震烈度为7度，地震动峰值加速度反应谱特征周期为0.55s。</w:t>
      </w:r>
    </w:p>
    <w:p w14:paraId="16CE5077">
      <w:pPr>
        <w:tabs>
          <w:tab w:val="left" w:pos="90"/>
        </w:tabs>
        <w:spacing w:line="360" w:lineRule="auto"/>
        <w:rPr>
          <w:rFonts w:ascii="宋体" w:hAnsi="宋体" w:eastAsia="宋体"/>
          <w:snapToGrid w:val="0"/>
          <w:color w:val="auto"/>
          <w:sz w:val="24"/>
          <w:szCs w:val="24"/>
          <w:highlight w:val="none"/>
        </w:rPr>
      </w:pPr>
      <w:r>
        <w:rPr>
          <w:rFonts w:hint="eastAsia" w:ascii="宋体" w:hAnsi="宋体" w:eastAsia="宋体" w:cs="Arial"/>
          <w:snapToGrid w:val="0"/>
          <w:color w:val="auto"/>
          <w:sz w:val="24"/>
          <w:szCs w:val="24"/>
          <w:highlight w:val="none"/>
        </w:rPr>
        <w:t xml:space="preserve">2.2.4 </w:t>
      </w:r>
      <w:r>
        <w:rPr>
          <w:rFonts w:hint="eastAsia" w:ascii="宋体" w:hAnsi="宋体" w:eastAsia="宋体"/>
          <w:snapToGrid w:val="0"/>
          <w:color w:val="auto"/>
          <w:sz w:val="24"/>
          <w:szCs w:val="24"/>
          <w:highlight w:val="none"/>
        </w:rPr>
        <w:t>交通运输</w:t>
      </w:r>
    </w:p>
    <w:p w14:paraId="4DEB6E12">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洛阳市位于河南省西部。陇海、焦柳两大铁路干线交汇于洛阳，北部还有洛宜铁路。有连霍高速公路和国道207线、310线、311线穿过，有省道11条，新安县位于洛阳市西部，交通便利。</w:t>
      </w:r>
    </w:p>
    <w:p w14:paraId="5ECD90B1">
      <w:pPr>
        <w:spacing w:line="360" w:lineRule="auto"/>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（1）铁路运输</w:t>
      </w:r>
    </w:p>
    <w:p w14:paraId="18BE834B">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电厂铁路专用线初步考虑从西南侧的陇海铁路铁门车站引接。铁门站为陇海线上的中间站，位于新安县铁门镇境内，介于义马站和南岗站之间，东距南岗站4.20km，西距义马站12.5 km。西咽喉设牵出线1股，有效长为531m。本站为办理货运业务的三等站，主要承担陇海线上下行客货运列车的接发、解编货物列车的甩挂、专用线装卸车取送作业。东咽喉端有车务运贸公司、万丰、洛阳玻璃厂、黄河水泥厂、海校、货1、货2共7条专用线接轨，在铁门站6道办理作业，利用车站的调机负责取送作业。</w:t>
      </w:r>
    </w:p>
    <w:p w14:paraId="2F4F9E6A">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电厂铁路专用线主要技术标准：</w:t>
      </w:r>
    </w:p>
    <w:p w14:paraId="05129E46">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铁路等级：</w:t>
      </w:r>
      <w:r>
        <w:rPr>
          <w:rFonts w:hint="eastAsia" w:ascii="宋体" w:hAnsi="宋体" w:eastAsia="宋体" w:cs="Arial"/>
          <w:snapToGrid w:val="0"/>
          <w:color w:val="auto"/>
          <w:sz w:val="24"/>
          <w:szCs w:val="24"/>
          <w:highlight w:val="none"/>
        </w:rPr>
        <w:t xml:space="preserve">  工企Ⅱ级</w:t>
      </w:r>
    </w:p>
    <w:p w14:paraId="4F7BD839">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正线数目：单线</w:t>
      </w:r>
    </w:p>
    <w:p w14:paraId="1AE29EBE">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最小曲线半径：一般地段</w:t>
      </w:r>
      <w:r>
        <w:rPr>
          <w:rFonts w:hint="eastAsia" w:ascii="宋体" w:hAnsi="宋体" w:eastAsia="宋体" w:cs="Arial"/>
          <w:snapToGrid w:val="0"/>
          <w:color w:val="auto"/>
          <w:sz w:val="24"/>
          <w:szCs w:val="24"/>
          <w:highlight w:val="none"/>
        </w:rPr>
        <w:t>350</w:t>
      </w:r>
      <w:r>
        <w:rPr>
          <w:rFonts w:ascii="宋体" w:hAnsi="宋体" w:eastAsia="宋体" w:cs="Arial"/>
          <w:snapToGrid w:val="0"/>
          <w:color w:val="auto"/>
          <w:sz w:val="24"/>
          <w:szCs w:val="24"/>
          <w:highlight w:val="none"/>
        </w:rPr>
        <w:t>m，困难地段</w:t>
      </w:r>
      <w:r>
        <w:rPr>
          <w:rFonts w:hint="eastAsia" w:ascii="宋体" w:hAnsi="宋体" w:eastAsia="宋体" w:cs="Arial"/>
          <w:snapToGrid w:val="0"/>
          <w:color w:val="auto"/>
          <w:sz w:val="24"/>
          <w:szCs w:val="24"/>
          <w:highlight w:val="none"/>
        </w:rPr>
        <w:t>300</w:t>
      </w:r>
      <w:r>
        <w:rPr>
          <w:rFonts w:ascii="宋体" w:hAnsi="宋体" w:eastAsia="宋体" w:cs="Arial"/>
          <w:snapToGrid w:val="0"/>
          <w:color w:val="auto"/>
          <w:sz w:val="24"/>
          <w:szCs w:val="24"/>
          <w:highlight w:val="none"/>
        </w:rPr>
        <w:t>m</w:t>
      </w:r>
    </w:p>
    <w:p w14:paraId="2EB72CBD">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限制坡度：</w:t>
      </w:r>
      <w:r>
        <w:rPr>
          <w:rFonts w:hint="eastAsia" w:ascii="宋体" w:hAnsi="宋体" w:eastAsia="宋体" w:cs="Arial"/>
          <w:snapToGrid w:val="0"/>
          <w:color w:val="auto"/>
          <w:sz w:val="24"/>
          <w:szCs w:val="24"/>
          <w:highlight w:val="none"/>
        </w:rPr>
        <w:t xml:space="preserve">  13‰</w:t>
      </w:r>
    </w:p>
    <w:p w14:paraId="165C6F12">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牵引种类：</w:t>
      </w:r>
      <w:r>
        <w:rPr>
          <w:rFonts w:hint="eastAsia" w:ascii="宋体" w:hAnsi="宋体" w:eastAsia="宋体" w:cs="Arial"/>
          <w:snapToGrid w:val="0"/>
          <w:color w:val="auto"/>
          <w:sz w:val="24"/>
          <w:szCs w:val="24"/>
          <w:highlight w:val="none"/>
        </w:rPr>
        <w:t xml:space="preserve">  电力牵引</w:t>
      </w:r>
    </w:p>
    <w:p w14:paraId="1DFF704F">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机车</w:t>
      </w:r>
      <w:r>
        <w:rPr>
          <w:rFonts w:ascii="宋体" w:hAnsi="宋体" w:eastAsia="宋体" w:cs="Arial"/>
          <w:snapToGrid w:val="0"/>
          <w:color w:val="auto"/>
          <w:sz w:val="24"/>
          <w:szCs w:val="24"/>
          <w:highlight w:val="none"/>
        </w:rPr>
        <w:t>种类：</w:t>
      </w:r>
      <w:r>
        <w:rPr>
          <w:rFonts w:hint="eastAsia" w:ascii="宋体" w:hAnsi="宋体" w:eastAsia="宋体" w:cs="Arial"/>
          <w:snapToGrid w:val="0"/>
          <w:color w:val="auto"/>
          <w:sz w:val="24"/>
          <w:szCs w:val="24"/>
          <w:highlight w:val="none"/>
        </w:rPr>
        <w:t xml:space="preserve">  SS4</w:t>
      </w:r>
    </w:p>
    <w:p w14:paraId="1ACDCB04">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牵引定数：  4000t</w:t>
      </w:r>
    </w:p>
    <w:p w14:paraId="3D07EF36">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到发线有效长： 880</w:t>
      </w:r>
      <w:r>
        <w:rPr>
          <w:rFonts w:ascii="宋体" w:hAnsi="宋体" w:eastAsia="宋体" w:cs="Arial"/>
          <w:snapToGrid w:val="0"/>
          <w:color w:val="auto"/>
          <w:sz w:val="24"/>
          <w:szCs w:val="24"/>
          <w:highlight w:val="none"/>
        </w:rPr>
        <w:t>m</w:t>
      </w:r>
    </w:p>
    <w:p w14:paraId="0ABBCC41">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闭塞类型：  场间联系</w:t>
      </w:r>
    </w:p>
    <w:p w14:paraId="04330054">
      <w:pPr>
        <w:spacing w:line="240" w:lineRule="exact"/>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（2） 公路运输</w:t>
      </w:r>
    </w:p>
    <w:p w14:paraId="517FCE0C">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根据厂区现状</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 xml:space="preserve"> 电厂现有进厂道路从310国道引接，本期利用一期进厂道路；运煤道路从310国道引接，长度约835m。</w:t>
      </w:r>
    </w:p>
    <w:p w14:paraId="4F352D3B">
      <w:pPr>
        <w:spacing w:line="360" w:lineRule="auto"/>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（3）电厂大件运输</w:t>
      </w:r>
    </w:p>
    <w:p w14:paraId="695667DA">
      <w:pPr>
        <w:pStyle w:val="282"/>
        <w:wordWrap/>
        <w:overflowPunct/>
        <w:autoSpaceDE/>
        <w:autoSpaceDN/>
        <w:snapToGrid w:val="0"/>
        <w:spacing w:line="360" w:lineRule="auto"/>
        <w:ind w:firstLineChars="200"/>
        <w:rPr>
          <w:rFonts w:hAnsi="宋体" w:cs="Arial"/>
          <w:snapToGrid w:val="0"/>
          <w:color w:val="auto"/>
          <w:szCs w:val="24"/>
          <w:highlight w:val="none"/>
        </w:rPr>
      </w:pPr>
      <w:r>
        <w:rPr>
          <w:rFonts w:hint="eastAsia" w:hAnsi="宋体" w:cs="Arial"/>
          <w:snapToGrid w:val="0"/>
          <w:color w:val="auto"/>
          <w:szCs w:val="24"/>
          <w:highlight w:val="none"/>
        </w:rPr>
        <w:t>由投标人根据本项目厂址交通运输条件选择合理的运输方案，提出大件运输路径及方案，制定出合理详细的大件运输方案。</w:t>
      </w:r>
    </w:p>
    <w:p w14:paraId="3A2813DB">
      <w:pPr>
        <w:tabs>
          <w:tab w:val="left" w:pos="90"/>
        </w:tabs>
        <w:spacing w:line="360" w:lineRule="auto"/>
        <w:rPr>
          <w:rFonts w:ascii="宋体" w:hAnsi="宋体" w:eastAsia="宋体"/>
          <w:color w:val="auto"/>
          <w:sz w:val="24"/>
          <w:szCs w:val="24"/>
          <w:highlight w:val="none"/>
        </w:rPr>
      </w:pPr>
      <w:r>
        <w:rPr>
          <w:rFonts w:hint="eastAsia" w:ascii="宋体" w:hAnsi="宋体" w:eastAsia="宋体"/>
          <w:snapToGrid w:val="0"/>
          <w:color w:val="auto"/>
          <w:sz w:val="24"/>
          <w:szCs w:val="24"/>
          <w:highlight w:val="none"/>
        </w:rPr>
        <w:t>2.2.5  气象条件</w:t>
      </w:r>
    </w:p>
    <w:p w14:paraId="3821003B">
      <w:pPr>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万基宏远</w:t>
      </w:r>
      <w:r>
        <w:rPr>
          <w:rFonts w:ascii="宋体" w:hAnsi="宋体" w:eastAsia="宋体" w:cs="Arial"/>
          <w:snapToGrid w:val="0"/>
          <w:color w:val="auto"/>
          <w:sz w:val="24"/>
          <w:szCs w:val="24"/>
          <w:highlight w:val="none"/>
        </w:rPr>
        <w:t>电厂位于新安县庙头</w:t>
      </w:r>
      <w:r>
        <w:rPr>
          <w:rFonts w:hint="eastAsia" w:ascii="宋体" w:hAnsi="宋体" w:eastAsia="宋体" w:cs="Arial"/>
          <w:snapToGrid w:val="0"/>
          <w:color w:val="auto"/>
          <w:sz w:val="24"/>
          <w:szCs w:val="24"/>
          <w:highlight w:val="none"/>
        </w:rPr>
        <w:t>村</w:t>
      </w:r>
      <w:r>
        <w:rPr>
          <w:rFonts w:ascii="宋体" w:hAnsi="宋体" w:eastAsia="宋体" w:cs="Arial"/>
          <w:snapToGrid w:val="0"/>
          <w:color w:val="auto"/>
          <w:sz w:val="24"/>
          <w:szCs w:val="24"/>
          <w:highlight w:val="none"/>
        </w:rPr>
        <w:t>东南，陇海铁路和310国道之间，涧河北岸，厂址以南约1.5km为涧河，</w:t>
      </w:r>
      <w:r>
        <w:rPr>
          <w:rFonts w:hint="eastAsia" w:ascii="宋体" w:hAnsi="宋体" w:eastAsia="宋体" w:cs="Arial"/>
          <w:snapToGrid w:val="0"/>
          <w:color w:val="auto"/>
          <w:sz w:val="24"/>
          <w:szCs w:val="24"/>
          <w:highlight w:val="none"/>
        </w:rPr>
        <w:t>建设</w:t>
      </w:r>
      <w:r>
        <w:rPr>
          <w:rFonts w:ascii="宋体" w:hAnsi="宋体" w:eastAsia="宋体" w:cs="Arial"/>
          <w:snapToGrid w:val="0"/>
          <w:color w:val="auto"/>
          <w:sz w:val="24"/>
          <w:szCs w:val="24"/>
          <w:highlight w:val="none"/>
        </w:rPr>
        <w:t>2×600MW级机组，</w:t>
      </w:r>
      <w:r>
        <w:rPr>
          <w:rFonts w:hint="eastAsia" w:ascii="宋体" w:hAnsi="宋体" w:eastAsia="宋体" w:cs="Arial"/>
          <w:snapToGrid w:val="0"/>
          <w:color w:val="auto"/>
          <w:sz w:val="24"/>
          <w:szCs w:val="24"/>
          <w:highlight w:val="none"/>
        </w:rPr>
        <w:t>主厂区</w:t>
      </w:r>
      <w:r>
        <w:rPr>
          <w:rFonts w:ascii="宋体" w:hAnsi="宋体" w:eastAsia="宋体" w:cs="Arial"/>
          <w:snapToGrid w:val="0"/>
          <w:color w:val="auto"/>
          <w:sz w:val="24"/>
          <w:szCs w:val="24"/>
          <w:highlight w:val="none"/>
        </w:rPr>
        <w:t>地面高程在</w:t>
      </w:r>
      <w:r>
        <w:rPr>
          <w:rFonts w:hint="eastAsia" w:ascii="宋体" w:hAnsi="宋体" w:eastAsia="宋体" w:cs="Arial"/>
          <w:snapToGrid w:val="0"/>
          <w:color w:val="auto"/>
          <w:sz w:val="24"/>
          <w:szCs w:val="24"/>
          <w:highlight w:val="none"/>
        </w:rPr>
        <w:t>306.0</w:t>
      </w:r>
      <w:r>
        <w:rPr>
          <w:rFonts w:ascii="宋体" w:hAnsi="宋体" w:eastAsia="宋体" w:cs="Arial"/>
          <w:snapToGrid w:val="0"/>
          <w:color w:val="auto"/>
          <w:sz w:val="24"/>
          <w:szCs w:val="24"/>
          <w:highlight w:val="none"/>
        </w:rPr>
        <w:t>～3</w:t>
      </w:r>
      <w:r>
        <w:rPr>
          <w:rFonts w:hint="eastAsia" w:ascii="宋体" w:hAnsi="宋体" w:eastAsia="宋体" w:cs="Arial"/>
          <w:snapToGrid w:val="0"/>
          <w:color w:val="auto"/>
          <w:sz w:val="24"/>
          <w:szCs w:val="24"/>
          <w:highlight w:val="none"/>
        </w:rPr>
        <w:t>15.0</w:t>
      </w:r>
      <w:r>
        <w:rPr>
          <w:rFonts w:ascii="宋体" w:hAnsi="宋体" w:eastAsia="宋体" w:cs="Arial"/>
          <w:snapToGrid w:val="0"/>
          <w:color w:val="auto"/>
          <w:sz w:val="24"/>
          <w:szCs w:val="24"/>
          <w:highlight w:val="none"/>
        </w:rPr>
        <w:t>m之间，</w:t>
      </w:r>
      <w:r>
        <w:rPr>
          <w:rFonts w:hint="eastAsia" w:ascii="宋体" w:hAnsi="宋体" w:eastAsia="宋体" w:cs="Arial"/>
          <w:snapToGrid w:val="0"/>
          <w:color w:val="auto"/>
          <w:sz w:val="24"/>
          <w:szCs w:val="24"/>
          <w:highlight w:val="none"/>
        </w:rPr>
        <w:t>煤场区地面高程在320.0m～331.0m之间，</w:t>
      </w:r>
      <w:r>
        <w:rPr>
          <w:rFonts w:ascii="宋体" w:hAnsi="宋体" w:eastAsia="宋体" w:cs="Arial"/>
          <w:snapToGrid w:val="0"/>
          <w:color w:val="auto"/>
          <w:sz w:val="24"/>
          <w:szCs w:val="24"/>
          <w:highlight w:val="none"/>
        </w:rPr>
        <w:t>为自北向南倾斜的黄土丘陵地形。</w:t>
      </w:r>
    </w:p>
    <w:p w14:paraId="70B22A1C">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涧河该段为山前下切型河床，两岸地形相对较高，一般洪水可控制在河槽之内，较大洪水在两岸之间漫滩行洪。根据涧河新安水文站实测洪水资料，结合电厂水文断面自然条件，经分析计算，电厂处涧河百年一遇洪水位为292.37m，低于电厂地面高程，故电厂不受涧河百年一遇洪水威胁。</w:t>
      </w:r>
    </w:p>
    <w:p w14:paraId="298FD104">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新安县气象站位于新安县城郊，北纬34°43’，东径112°09’，观测场地面高程253.0m。</w:t>
      </w:r>
      <w:r>
        <w:rPr>
          <w:rFonts w:hint="eastAsia" w:ascii="宋体" w:hAnsi="宋体" w:eastAsia="宋体" w:cs="Arial"/>
          <w:snapToGrid w:val="0"/>
          <w:color w:val="auto"/>
          <w:sz w:val="24"/>
          <w:szCs w:val="24"/>
          <w:highlight w:val="none"/>
        </w:rPr>
        <w:t>万基控股</w:t>
      </w:r>
      <w:r>
        <w:rPr>
          <w:rFonts w:ascii="宋体" w:hAnsi="宋体" w:eastAsia="宋体" w:cs="Arial"/>
          <w:snapToGrid w:val="0"/>
          <w:color w:val="auto"/>
          <w:sz w:val="24"/>
          <w:szCs w:val="24"/>
          <w:highlight w:val="none"/>
        </w:rPr>
        <w:t>电厂在气象站以西约8.0km的范围内，自然地理气候条件基本一致，皆属同一气候区域，采用新安气象站观测资料具有较好的代表性。</w:t>
      </w:r>
    </w:p>
    <w:p w14:paraId="09828F80">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根据新安气象站建站～2010年的实测资料，统计的各项气象参数特征值和逐月平均气象条件见表</w:t>
      </w:r>
      <w:r>
        <w:rPr>
          <w:rFonts w:hint="eastAsia" w:ascii="宋体" w:hAnsi="宋体" w:eastAsia="宋体" w:cs="Arial"/>
          <w:snapToGrid w:val="0"/>
          <w:color w:val="auto"/>
          <w:sz w:val="24"/>
          <w:szCs w:val="24"/>
          <w:highlight w:val="none"/>
        </w:rPr>
        <w:t>2.2.5</w:t>
      </w:r>
      <w:r>
        <w:rPr>
          <w:rFonts w:ascii="宋体" w:hAnsi="宋体" w:eastAsia="宋体" w:cs="Arial"/>
          <w:snapToGrid w:val="0"/>
          <w:color w:val="auto"/>
          <w:sz w:val="24"/>
          <w:szCs w:val="24"/>
          <w:highlight w:val="none"/>
        </w:rPr>
        <w:t>-1、</w:t>
      </w:r>
      <w:r>
        <w:rPr>
          <w:rFonts w:hint="eastAsia" w:ascii="宋体" w:hAnsi="宋体" w:eastAsia="宋体" w:cs="Arial"/>
          <w:snapToGrid w:val="0"/>
          <w:color w:val="auto"/>
          <w:sz w:val="24"/>
          <w:szCs w:val="24"/>
          <w:highlight w:val="none"/>
        </w:rPr>
        <w:t>2.2.5</w:t>
      </w:r>
      <w:r>
        <w:rPr>
          <w:rFonts w:ascii="宋体" w:hAnsi="宋体" w:eastAsia="宋体" w:cs="Arial"/>
          <w:snapToGrid w:val="0"/>
          <w:color w:val="auto"/>
          <w:sz w:val="24"/>
          <w:szCs w:val="24"/>
          <w:highlight w:val="none"/>
        </w:rPr>
        <w:t>-2。</w:t>
      </w:r>
    </w:p>
    <w:p w14:paraId="0E7824E5">
      <w:pPr>
        <w:spacing w:line="520" w:lineRule="exact"/>
        <w:ind w:right="-118" w:rightChars="-56" w:firstLine="240" w:firstLineChars="100"/>
        <w:rPr>
          <w:rFonts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 xml:space="preserve">      表2.2.5-1     新安县气象站气象特征值表</w:t>
      </w:r>
    </w:p>
    <w:tbl>
      <w:tblPr>
        <w:tblStyle w:val="58"/>
        <w:tblW w:w="87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1276"/>
        <w:gridCol w:w="1417"/>
        <w:gridCol w:w="1470"/>
        <w:gridCol w:w="1958"/>
      </w:tblGrid>
      <w:tr w14:paraId="16CCC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2635" w:type="dxa"/>
            <w:vAlign w:val="center"/>
          </w:tcPr>
          <w:p w14:paraId="25B2CB68">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项    目</w:t>
            </w:r>
          </w:p>
        </w:tc>
        <w:tc>
          <w:tcPr>
            <w:tcW w:w="1276" w:type="dxa"/>
            <w:vAlign w:val="center"/>
          </w:tcPr>
          <w:p w14:paraId="2079FF1B">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单位</w:t>
            </w:r>
          </w:p>
        </w:tc>
        <w:tc>
          <w:tcPr>
            <w:tcW w:w="1417" w:type="dxa"/>
            <w:vAlign w:val="center"/>
          </w:tcPr>
          <w:p w14:paraId="445AD763">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特征值</w:t>
            </w:r>
          </w:p>
        </w:tc>
        <w:tc>
          <w:tcPr>
            <w:tcW w:w="1470" w:type="dxa"/>
            <w:vAlign w:val="center"/>
          </w:tcPr>
          <w:p w14:paraId="5A158EE2">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出现时间</w:t>
            </w:r>
          </w:p>
        </w:tc>
        <w:tc>
          <w:tcPr>
            <w:tcW w:w="1958" w:type="dxa"/>
            <w:vAlign w:val="center"/>
          </w:tcPr>
          <w:p w14:paraId="72BA7720">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统计年限</w:t>
            </w:r>
          </w:p>
        </w:tc>
      </w:tr>
      <w:tr w14:paraId="3F829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6ABA5D67">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多年平均气温</w:t>
            </w:r>
          </w:p>
        </w:tc>
        <w:tc>
          <w:tcPr>
            <w:tcW w:w="1276" w:type="dxa"/>
            <w:vAlign w:val="center"/>
          </w:tcPr>
          <w:p w14:paraId="71F9582B">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7DAF7BF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14.5</w:t>
            </w:r>
          </w:p>
        </w:tc>
        <w:tc>
          <w:tcPr>
            <w:tcW w:w="1470" w:type="dxa"/>
            <w:vAlign w:val="center"/>
          </w:tcPr>
          <w:p w14:paraId="7F54281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3FF9614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424C9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61E66E9D">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多年平均气压</w:t>
            </w:r>
          </w:p>
        </w:tc>
        <w:tc>
          <w:tcPr>
            <w:tcW w:w="1276" w:type="dxa"/>
            <w:vAlign w:val="center"/>
          </w:tcPr>
          <w:p w14:paraId="703E407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hPa</w:t>
            </w:r>
          </w:p>
        </w:tc>
        <w:tc>
          <w:tcPr>
            <w:tcW w:w="1417" w:type="dxa"/>
            <w:vAlign w:val="center"/>
          </w:tcPr>
          <w:p w14:paraId="302D7AD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985.4</w:t>
            </w:r>
          </w:p>
        </w:tc>
        <w:tc>
          <w:tcPr>
            <w:tcW w:w="1470" w:type="dxa"/>
            <w:vAlign w:val="center"/>
          </w:tcPr>
          <w:p w14:paraId="4231FE8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2A3C92C6">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50B9A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635" w:type="dxa"/>
            <w:vAlign w:val="center"/>
          </w:tcPr>
          <w:p w14:paraId="6EEC352E">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多年平均风速</w:t>
            </w:r>
          </w:p>
        </w:tc>
        <w:tc>
          <w:tcPr>
            <w:tcW w:w="1276" w:type="dxa"/>
            <w:vAlign w:val="center"/>
          </w:tcPr>
          <w:p w14:paraId="6E02A24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m/s</w:t>
            </w:r>
          </w:p>
        </w:tc>
        <w:tc>
          <w:tcPr>
            <w:tcW w:w="1417" w:type="dxa"/>
            <w:vAlign w:val="center"/>
          </w:tcPr>
          <w:p w14:paraId="2D7A47A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2.4</w:t>
            </w:r>
          </w:p>
        </w:tc>
        <w:tc>
          <w:tcPr>
            <w:tcW w:w="1470" w:type="dxa"/>
            <w:vAlign w:val="center"/>
          </w:tcPr>
          <w:p w14:paraId="61A466A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404B7AD8">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40DB9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65DB85D9">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多年平均降水量</w:t>
            </w:r>
          </w:p>
        </w:tc>
        <w:tc>
          <w:tcPr>
            <w:tcW w:w="1276" w:type="dxa"/>
            <w:vAlign w:val="center"/>
          </w:tcPr>
          <w:p w14:paraId="152D925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09A588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644.9</w:t>
            </w:r>
          </w:p>
        </w:tc>
        <w:tc>
          <w:tcPr>
            <w:tcW w:w="1470" w:type="dxa"/>
            <w:vAlign w:val="center"/>
          </w:tcPr>
          <w:p w14:paraId="3527618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07020A1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6604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3BA6C2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多年平均相对湿度</w:t>
            </w:r>
          </w:p>
        </w:tc>
        <w:tc>
          <w:tcPr>
            <w:tcW w:w="1276" w:type="dxa"/>
            <w:vAlign w:val="center"/>
          </w:tcPr>
          <w:p w14:paraId="7C16A5C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6D1FA4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65</w:t>
            </w:r>
          </w:p>
        </w:tc>
        <w:tc>
          <w:tcPr>
            <w:tcW w:w="1470" w:type="dxa"/>
            <w:vAlign w:val="center"/>
          </w:tcPr>
          <w:p w14:paraId="0F447A9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1BE4249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667EBF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0B98C901">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多年平均雷暴日数</w:t>
            </w:r>
          </w:p>
        </w:tc>
        <w:tc>
          <w:tcPr>
            <w:tcW w:w="1276" w:type="dxa"/>
            <w:vAlign w:val="center"/>
          </w:tcPr>
          <w:p w14:paraId="1DAA771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d</w:t>
            </w:r>
          </w:p>
        </w:tc>
        <w:tc>
          <w:tcPr>
            <w:tcW w:w="1417" w:type="dxa"/>
            <w:vAlign w:val="center"/>
          </w:tcPr>
          <w:p w14:paraId="6ED075A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21</w:t>
            </w:r>
          </w:p>
        </w:tc>
        <w:tc>
          <w:tcPr>
            <w:tcW w:w="1470" w:type="dxa"/>
            <w:vAlign w:val="center"/>
          </w:tcPr>
          <w:p w14:paraId="4DA0C43F">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479AD8D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578FC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5C13D6A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极端最高气温</w:t>
            </w:r>
          </w:p>
        </w:tc>
        <w:tc>
          <w:tcPr>
            <w:tcW w:w="1276" w:type="dxa"/>
            <w:vAlign w:val="center"/>
          </w:tcPr>
          <w:p w14:paraId="78428B4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02AA02C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44.0</w:t>
            </w:r>
          </w:p>
        </w:tc>
        <w:tc>
          <w:tcPr>
            <w:tcW w:w="1470" w:type="dxa"/>
            <w:vAlign w:val="center"/>
          </w:tcPr>
          <w:p w14:paraId="2E3183A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66.6.20</w:t>
            </w:r>
          </w:p>
        </w:tc>
        <w:tc>
          <w:tcPr>
            <w:tcW w:w="1958" w:type="dxa"/>
            <w:vAlign w:val="center"/>
          </w:tcPr>
          <w:p w14:paraId="72A8675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6D334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355939B">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极端最低气温</w:t>
            </w:r>
          </w:p>
        </w:tc>
        <w:tc>
          <w:tcPr>
            <w:tcW w:w="1276" w:type="dxa"/>
            <w:vAlign w:val="center"/>
          </w:tcPr>
          <w:p w14:paraId="192AE7A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4F10CA9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-17.1</w:t>
            </w:r>
          </w:p>
        </w:tc>
        <w:tc>
          <w:tcPr>
            <w:tcW w:w="1470" w:type="dxa"/>
            <w:vAlign w:val="center"/>
          </w:tcPr>
          <w:p w14:paraId="71A51D21">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69.1.31</w:t>
            </w:r>
          </w:p>
        </w:tc>
        <w:tc>
          <w:tcPr>
            <w:tcW w:w="1958" w:type="dxa"/>
            <w:vAlign w:val="center"/>
          </w:tcPr>
          <w:p w14:paraId="02F77D4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501AA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308EF329">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定时最大风速</w:t>
            </w:r>
          </w:p>
        </w:tc>
        <w:tc>
          <w:tcPr>
            <w:tcW w:w="1276" w:type="dxa"/>
            <w:vAlign w:val="center"/>
          </w:tcPr>
          <w:p w14:paraId="7A722DC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m/s</w:t>
            </w:r>
          </w:p>
        </w:tc>
        <w:tc>
          <w:tcPr>
            <w:tcW w:w="1417" w:type="dxa"/>
            <w:vAlign w:val="center"/>
          </w:tcPr>
          <w:p w14:paraId="1EA1983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20.0</w:t>
            </w:r>
          </w:p>
        </w:tc>
        <w:tc>
          <w:tcPr>
            <w:tcW w:w="1470" w:type="dxa"/>
            <w:vAlign w:val="center"/>
          </w:tcPr>
          <w:p w14:paraId="3EF376F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85.8.13</w:t>
            </w:r>
          </w:p>
        </w:tc>
        <w:tc>
          <w:tcPr>
            <w:tcW w:w="1958" w:type="dxa"/>
            <w:vAlign w:val="center"/>
          </w:tcPr>
          <w:p w14:paraId="6BF9418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26A57F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2635" w:type="dxa"/>
            <w:vAlign w:val="center"/>
          </w:tcPr>
          <w:p w14:paraId="42C8E142">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最大一日降水量</w:t>
            </w:r>
          </w:p>
        </w:tc>
        <w:tc>
          <w:tcPr>
            <w:tcW w:w="1276" w:type="dxa"/>
            <w:vAlign w:val="center"/>
          </w:tcPr>
          <w:p w14:paraId="7EAED0E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34A5C98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184.5</w:t>
            </w:r>
          </w:p>
        </w:tc>
        <w:tc>
          <w:tcPr>
            <w:tcW w:w="1470" w:type="dxa"/>
            <w:vAlign w:val="center"/>
          </w:tcPr>
          <w:p w14:paraId="63D628E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82.7.30</w:t>
            </w:r>
          </w:p>
        </w:tc>
        <w:tc>
          <w:tcPr>
            <w:tcW w:w="1958" w:type="dxa"/>
            <w:vAlign w:val="center"/>
          </w:tcPr>
          <w:p w14:paraId="0151E5F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64E98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4FCDD83">
            <w:pPr>
              <w:spacing w:beforeLines="10" w:afterLines="10"/>
              <w:rPr>
                <w:rFonts w:asciiTheme="majorEastAsia" w:hAnsiTheme="majorEastAsia" w:eastAsiaTheme="majorEastAsia"/>
                <w:color w:val="auto"/>
                <w:sz w:val="24"/>
                <w:szCs w:val="24"/>
                <w:highlight w:val="none"/>
                <w:vertAlign w:val="superscript"/>
              </w:rPr>
            </w:pPr>
            <w:r>
              <w:rPr>
                <w:rFonts w:asciiTheme="majorEastAsia" w:hAnsiTheme="majorEastAsia" w:eastAsiaTheme="majorEastAsia"/>
                <w:color w:val="auto"/>
                <w:sz w:val="24"/>
                <w:szCs w:val="24"/>
                <w:highlight w:val="none"/>
              </w:rPr>
              <w:t>最大积雪深度</w:t>
            </w:r>
          </w:p>
        </w:tc>
        <w:tc>
          <w:tcPr>
            <w:tcW w:w="1276" w:type="dxa"/>
            <w:vAlign w:val="center"/>
          </w:tcPr>
          <w:p w14:paraId="3F3E03CB">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cm</w:t>
            </w:r>
          </w:p>
        </w:tc>
        <w:tc>
          <w:tcPr>
            <w:tcW w:w="1417" w:type="dxa"/>
            <w:vAlign w:val="center"/>
          </w:tcPr>
          <w:p w14:paraId="7480289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33</w:t>
            </w:r>
          </w:p>
        </w:tc>
        <w:tc>
          <w:tcPr>
            <w:tcW w:w="1470" w:type="dxa"/>
            <w:vAlign w:val="center"/>
          </w:tcPr>
          <w:p w14:paraId="4F6657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71.12.24</w:t>
            </w:r>
          </w:p>
        </w:tc>
        <w:tc>
          <w:tcPr>
            <w:tcW w:w="1958" w:type="dxa"/>
            <w:vAlign w:val="center"/>
          </w:tcPr>
          <w:p w14:paraId="764E006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497E5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E7F869B">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最大冻土厚度</w:t>
            </w:r>
          </w:p>
        </w:tc>
        <w:tc>
          <w:tcPr>
            <w:tcW w:w="1276" w:type="dxa"/>
            <w:vAlign w:val="center"/>
          </w:tcPr>
          <w:p w14:paraId="229B605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cm</w:t>
            </w:r>
          </w:p>
        </w:tc>
        <w:tc>
          <w:tcPr>
            <w:tcW w:w="1417" w:type="dxa"/>
            <w:vAlign w:val="center"/>
          </w:tcPr>
          <w:p w14:paraId="07D6259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18</w:t>
            </w:r>
          </w:p>
        </w:tc>
        <w:tc>
          <w:tcPr>
            <w:tcW w:w="1470" w:type="dxa"/>
            <w:vAlign w:val="center"/>
          </w:tcPr>
          <w:p w14:paraId="2676B936">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77.1.7</w:t>
            </w:r>
          </w:p>
        </w:tc>
        <w:tc>
          <w:tcPr>
            <w:tcW w:w="1958" w:type="dxa"/>
            <w:vAlign w:val="center"/>
          </w:tcPr>
          <w:p w14:paraId="60DB19D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2A52F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68F13C3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最大年降水量</w:t>
            </w:r>
          </w:p>
        </w:tc>
        <w:tc>
          <w:tcPr>
            <w:tcW w:w="1276" w:type="dxa"/>
            <w:vAlign w:val="center"/>
          </w:tcPr>
          <w:p w14:paraId="220BE9D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0EF98028">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948.5</w:t>
            </w:r>
          </w:p>
        </w:tc>
        <w:tc>
          <w:tcPr>
            <w:tcW w:w="1470" w:type="dxa"/>
            <w:vAlign w:val="center"/>
          </w:tcPr>
          <w:p w14:paraId="774F0E4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1973</w:t>
            </w:r>
          </w:p>
        </w:tc>
        <w:tc>
          <w:tcPr>
            <w:tcW w:w="1958" w:type="dxa"/>
            <w:vAlign w:val="center"/>
          </w:tcPr>
          <w:p w14:paraId="47A62D7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0D311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635" w:type="dxa"/>
            <w:vAlign w:val="center"/>
          </w:tcPr>
          <w:p w14:paraId="6710854E">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年最多雷暴日数</w:t>
            </w:r>
          </w:p>
        </w:tc>
        <w:tc>
          <w:tcPr>
            <w:tcW w:w="1276" w:type="dxa"/>
            <w:vAlign w:val="center"/>
          </w:tcPr>
          <w:p w14:paraId="6196847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d</w:t>
            </w:r>
          </w:p>
        </w:tc>
        <w:tc>
          <w:tcPr>
            <w:tcW w:w="1417" w:type="dxa"/>
            <w:vAlign w:val="center"/>
          </w:tcPr>
          <w:p w14:paraId="7A21163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37</w:t>
            </w:r>
          </w:p>
        </w:tc>
        <w:tc>
          <w:tcPr>
            <w:tcW w:w="1470" w:type="dxa"/>
            <w:vAlign w:val="center"/>
          </w:tcPr>
          <w:p w14:paraId="0E32BB9F">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1977</w:t>
            </w:r>
          </w:p>
        </w:tc>
        <w:tc>
          <w:tcPr>
            <w:tcW w:w="1958" w:type="dxa"/>
            <w:vAlign w:val="center"/>
          </w:tcPr>
          <w:p w14:paraId="33DDF1C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bl>
    <w:p w14:paraId="00BD82C1">
      <w:pPr>
        <w:spacing w:line="520" w:lineRule="exact"/>
        <w:ind w:right="-118" w:rightChars="-56" w:firstLine="360" w:firstLineChars="150"/>
        <w:rPr>
          <w:rFonts w:cs="Times New Roman" w:asciiTheme="majorEastAsia" w:hAnsiTheme="majorEastAsia" w:eastAsiaTheme="majorEastAsia"/>
          <w:color w:val="auto"/>
          <w:sz w:val="24"/>
          <w:szCs w:val="24"/>
          <w:highlight w:val="none"/>
        </w:rPr>
      </w:pPr>
      <w:r>
        <w:rPr>
          <w:rFonts w:cs="Times New Roman" w:asciiTheme="majorEastAsia" w:hAnsiTheme="majorEastAsia" w:eastAsiaTheme="majorEastAsia"/>
          <w:color w:val="auto"/>
          <w:sz w:val="24"/>
          <w:szCs w:val="24"/>
          <w:highlight w:val="none"/>
        </w:rPr>
        <w:t>根据新安县气象站近期五年(2003～2007年)夏季三个月逐日平均湿球温度资料，按逐点统计法计算出P=10%的湿球温度及相应时间的气象条件如表</w:t>
      </w:r>
      <w:r>
        <w:rPr>
          <w:rFonts w:hint="eastAsia" w:cs="Times New Roman" w:asciiTheme="majorEastAsia" w:hAnsiTheme="majorEastAsia" w:eastAsiaTheme="majorEastAsia"/>
          <w:color w:val="auto"/>
          <w:sz w:val="24"/>
          <w:szCs w:val="24"/>
          <w:highlight w:val="none"/>
        </w:rPr>
        <w:t>2.2.5</w:t>
      </w:r>
      <w:r>
        <w:rPr>
          <w:rFonts w:cs="Times New Roman" w:asciiTheme="majorEastAsia" w:hAnsiTheme="majorEastAsia" w:eastAsiaTheme="majorEastAsia"/>
          <w:color w:val="auto"/>
          <w:sz w:val="24"/>
          <w:szCs w:val="24"/>
          <w:highlight w:val="none"/>
        </w:rPr>
        <w:t>-</w:t>
      </w:r>
      <w:r>
        <w:rPr>
          <w:rFonts w:hint="eastAsia" w:cs="Times New Roman" w:asciiTheme="majorEastAsia" w:hAnsiTheme="majorEastAsia" w:eastAsiaTheme="majorEastAsia"/>
          <w:color w:val="auto"/>
          <w:sz w:val="24"/>
          <w:szCs w:val="24"/>
          <w:highlight w:val="none"/>
        </w:rPr>
        <w:t>2</w:t>
      </w:r>
      <w:r>
        <w:rPr>
          <w:rFonts w:cs="Times New Roman" w:asciiTheme="majorEastAsia" w:hAnsiTheme="majorEastAsia" w:eastAsiaTheme="majorEastAsia"/>
          <w:color w:val="auto"/>
          <w:sz w:val="24"/>
          <w:szCs w:val="24"/>
          <w:highlight w:val="none"/>
        </w:rPr>
        <w:t>。</w:t>
      </w:r>
    </w:p>
    <w:p w14:paraId="70D776AD">
      <w:pPr>
        <w:spacing w:line="520" w:lineRule="exact"/>
        <w:ind w:right="-118" w:rightChars="-56" w:firstLine="24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表2.2.5-2      新安县气象站(P=10%)的气象条件   </w:t>
      </w:r>
    </w:p>
    <w:tbl>
      <w:tblPr>
        <w:tblStyle w:val="58"/>
        <w:tblW w:w="8789"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1498"/>
        <w:gridCol w:w="1404"/>
        <w:gridCol w:w="1404"/>
        <w:gridCol w:w="1404"/>
        <w:gridCol w:w="1041"/>
      </w:tblGrid>
      <w:tr w14:paraId="7D501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2038" w:type="dxa"/>
            <w:vMerge w:val="restart"/>
            <w:vAlign w:val="center"/>
          </w:tcPr>
          <w:p w14:paraId="30F0246E">
            <w:pPr>
              <w:pStyle w:val="30"/>
              <w:snapToGrid w:val="0"/>
              <w:jc w:val="center"/>
              <w:outlineLvl w:val="0"/>
              <w:rPr>
                <w:rFonts w:cs="Times New Roman" w:asciiTheme="minorEastAsia" w:hAnsiTheme="minorEastAsia" w:eastAsiaTheme="minorEastAsia"/>
                <w:color w:val="auto"/>
                <w:sz w:val="24"/>
                <w:szCs w:val="24"/>
                <w:highlight w:val="none"/>
              </w:rPr>
            </w:pPr>
            <w:bookmarkStart w:id="28" w:name="_Toc332360846"/>
            <w:bookmarkStart w:id="29" w:name="_Toc325206094"/>
            <w:bookmarkStart w:id="30" w:name="_Toc325206183"/>
            <w:r>
              <w:rPr>
                <w:rFonts w:cs="Times New Roman" w:asciiTheme="minorEastAsia" w:hAnsiTheme="minorEastAsia" w:eastAsiaTheme="minorEastAsia"/>
                <w:color w:val="auto"/>
                <w:sz w:val="24"/>
                <w:szCs w:val="24"/>
                <w:highlight w:val="none"/>
              </w:rPr>
              <w:t>出现时间</w:t>
            </w:r>
            <w:bookmarkEnd w:id="28"/>
            <w:bookmarkEnd w:id="29"/>
            <w:bookmarkEnd w:id="30"/>
          </w:p>
        </w:tc>
        <w:tc>
          <w:tcPr>
            <w:tcW w:w="1498" w:type="dxa"/>
            <w:vMerge w:val="restart"/>
            <w:vAlign w:val="center"/>
          </w:tcPr>
          <w:p w14:paraId="17CE9DC8">
            <w:pPr>
              <w:pStyle w:val="30"/>
              <w:snapToGrid w:val="0"/>
              <w:jc w:val="center"/>
              <w:outlineLvl w:val="1"/>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P=10%的湿球温度(℃)</w:t>
            </w:r>
          </w:p>
        </w:tc>
        <w:tc>
          <w:tcPr>
            <w:tcW w:w="5253" w:type="dxa"/>
            <w:gridSpan w:val="4"/>
            <w:vAlign w:val="center"/>
          </w:tcPr>
          <w:p w14:paraId="40364A2D">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相应的日平均气象条件</w:t>
            </w:r>
          </w:p>
        </w:tc>
      </w:tr>
      <w:tr w14:paraId="3DD3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038" w:type="dxa"/>
            <w:vMerge w:val="continue"/>
          </w:tcPr>
          <w:p w14:paraId="30D6C04C">
            <w:pPr>
              <w:pStyle w:val="30"/>
              <w:ind w:right="1520"/>
              <w:jc w:val="center"/>
              <w:rPr>
                <w:rFonts w:cs="Times New Roman" w:asciiTheme="minorEastAsia" w:hAnsiTheme="minorEastAsia" w:eastAsiaTheme="minorEastAsia"/>
                <w:color w:val="auto"/>
                <w:sz w:val="24"/>
                <w:szCs w:val="24"/>
                <w:highlight w:val="none"/>
              </w:rPr>
            </w:pPr>
          </w:p>
        </w:tc>
        <w:tc>
          <w:tcPr>
            <w:tcW w:w="1498" w:type="dxa"/>
            <w:vMerge w:val="continue"/>
          </w:tcPr>
          <w:p w14:paraId="6648AD61">
            <w:pPr>
              <w:pStyle w:val="30"/>
              <w:snapToGrid w:val="0"/>
              <w:jc w:val="center"/>
              <w:outlineLvl w:val="1"/>
              <w:rPr>
                <w:rFonts w:cs="Times New Roman" w:asciiTheme="minorEastAsia" w:hAnsiTheme="minorEastAsia" w:eastAsiaTheme="minorEastAsia"/>
                <w:color w:val="auto"/>
                <w:sz w:val="24"/>
                <w:szCs w:val="24"/>
                <w:highlight w:val="none"/>
              </w:rPr>
            </w:pPr>
          </w:p>
        </w:tc>
        <w:tc>
          <w:tcPr>
            <w:tcW w:w="1404" w:type="dxa"/>
            <w:vAlign w:val="center"/>
          </w:tcPr>
          <w:p w14:paraId="2B5CF72D">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干球温度(℃)</w:t>
            </w:r>
          </w:p>
        </w:tc>
        <w:tc>
          <w:tcPr>
            <w:tcW w:w="1404" w:type="dxa"/>
            <w:vAlign w:val="center"/>
          </w:tcPr>
          <w:p w14:paraId="14B97550">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相对湿度(%)</w:t>
            </w:r>
          </w:p>
        </w:tc>
        <w:tc>
          <w:tcPr>
            <w:tcW w:w="1404" w:type="dxa"/>
            <w:vAlign w:val="center"/>
          </w:tcPr>
          <w:p w14:paraId="1BA2FCF1">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气压</w:t>
            </w:r>
          </w:p>
          <w:p w14:paraId="16E8E457">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(hpa)</w:t>
            </w:r>
          </w:p>
        </w:tc>
        <w:tc>
          <w:tcPr>
            <w:tcW w:w="1041" w:type="dxa"/>
            <w:vAlign w:val="center"/>
          </w:tcPr>
          <w:p w14:paraId="6DAC9305">
            <w:pPr>
              <w:pStyle w:val="30"/>
              <w:snapToGrid w:val="0"/>
              <w:jc w:val="center"/>
              <w:outlineLvl w:val="0"/>
              <w:rPr>
                <w:rFonts w:cs="Times New Roman" w:asciiTheme="minorEastAsia" w:hAnsiTheme="minorEastAsia" w:eastAsiaTheme="minorEastAsia"/>
                <w:color w:val="auto"/>
                <w:sz w:val="24"/>
                <w:szCs w:val="24"/>
                <w:highlight w:val="none"/>
              </w:rPr>
            </w:pPr>
            <w:bookmarkStart w:id="31" w:name="_Toc332360847"/>
            <w:bookmarkStart w:id="32" w:name="_Toc325206095"/>
            <w:bookmarkStart w:id="33" w:name="_Toc325206184"/>
            <w:r>
              <w:rPr>
                <w:rFonts w:cs="Times New Roman" w:asciiTheme="minorEastAsia" w:hAnsiTheme="minorEastAsia" w:eastAsiaTheme="minorEastAsia"/>
                <w:color w:val="auto"/>
                <w:sz w:val="24"/>
                <w:szCs w:val="24"/>
                <w:highlight w:val="none"/>
              </w:rPr>
              <w:t>风速</w:t>
            </w:r>
            <w:bookmarkEnd w:id="31"/>
            <w:bookmarkEnd w:id="32"/>
            <w:bookmarkEnd w:id="33"/>
          </w:p>
          <w:p w14:paraId="55838B37">
            <w:pPr>
              <w:pStyle w:val="30"/>
              <w:snapToGrid w:val="0"/>
              <w:jc w:val="center"/>
              <w:outlineLvl w:val="0"/>
              <w:rPr>
                <w:rFonts w:cs="Times New Roman" w:asciiTheme="minorEastAsia" w:hAnsiTheme="minorEastAsia" w:eastAsiaTheme="minorEastAsia"/>
                <w:color w:val="auto"/>
                <w:sz w:val="24"/>
                <w:szCs w:val="24"/>
                <w:highlight w:val="none"/>
              </w:rPr>
            </w:pPr>
            <w:bookmarkStart w:id="34" w:name="_Toc325206096"/>
            <w:bookmarkStart w:id="35" w:name="_Toc332360848"/>
            <w:bookmarkStart w:id="36" w:name="_Toc325206185"/>
            <w:r>
              <w:rPr>
                <w:rFonts w:cs="Times New Roman" w:asciiTheme="minorEastAsia" w:hAnsiTheme="minorEastAsia" w:eastAsiaTheme="minorEastAsia"/>
                <w:color w:val="auto"/>
                <w:sz w:val="24"/>
                <w:szCs w:val="24"/>
                <w:highlight w:val="none"/>
              </w:rPr>
              <w:t>(m/s)</w:t>
            </w:r>
            <w:bookmarkEnd w:id="34"/>
            <w:bookmarkEnd w:id="35"/>
            <w:bookmarkEnd w:id="36"/>
          </w:p>
        </w:tc>
      </w:tr>
      <w:tr w14:paraId="01322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6B43A4E3">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04.7.26</w:t>
            </w:r>
          </w:p>
        </w:tc>
        <w:tc>
          <w:tcPr>
            <w:tcW w:w="1498" w:type="dxa"/>
            <w:vAlign w:val="center"/>
          </w:tcPr>
          <w:p w14:paraId="48599EA3">
            <w:pPr>
              <w:pStyle w:val="30"/>
              <w:snapToGrid w:val="0"/>
              <w:jc w:val="center"/>
              <w:outlineLvl w:val="0"/>
              <w:rPr>
                <w:rFonts w:cs="Times New Roman" w:asciiTheme="minorEastAsia" w:hAnsiTheme="minorEastAsia" w:eastAsiaTheme="minorEastAsia"/>
                <w:color w:val="auto"/>
                <w:sz w:val="24"/>
                <w:szCs w:val="24"/>
                <w:highlight w:val="none"/>
              </w:rPr>
            </w:pPr>
            <w:bookmarkStart w:id="37" w:name="_Toc325206186"/>
            <w:bookmarkStart w:id="38" w:name="_Toc332360849"/>
            <w:bookmarkStart w:id="39" w:name="_Toc325206097"/>
            <w:r>
              <w:rPr>
                <w:rFonts w:cs="Times New Roman" w:asciiTheme="minorEastAsia" w:hAnsiTheme="minorEastAsia" w:eastAsiaTheme="minorEastAsia"/>
                <w:color w:val="auto"/>
                <w:sz w:val="24"/>
                <w:szCs w:val="24"/>
                <w:highlight w:val="none"/>
              </w:rPr>
              <w:t>25.5</w:t>
            </w:r>
            <w:bookmarkEnd w:id="37"/>
            <w:bookmarkEnd w:id="38"/>
            <w:bookmarkEnd w:id="39"/>
          </w:p>
        </w:tc>
        <w:tc>
          <w:tcPr>
            <w:tcW w:w="1404" w:type="dxa"/>
            <w:vAlign w:val="center"/>
          </w:tcPr>
          <w:p w14:paraId="39D92291">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40" w:name="_Toc325206098"/>
            <w:bookmarkStart w:id="41" w:name="_Toc332360850"/>
            <w:bookmarkStart w:id="42" w:name="_Toc325206187"/>
            <w:r>
              <w:rPr>
                <w:rFonts w:cs="Times New Roman" w:asciiTheme="minorEastAsia" w:hAnsiTheme="minorEastAsia" w:eastAsiaTheme="minorEastAsia"/>
                <w:color w:val="auto"/>
                <w:sz w:val="24"/>
                <w:szCs w:val="24"/>
                <w:highlight w:val="none"/>
              </w:rPr>
              <w:t>27.0</w:t>
            </w:r>
            <w:bookmarkEnd w:id="40"/>
            <w:bookmarkEnd w:id="41"/>
            <w:bookmarkEnd w:id="42"/>
          </w:p>
        </w:tc>
        <w:tc>
          <w:tcPr>
            <w:tcW w:w="1404" w:type="dxa"/>
            <w:vAlign w:val="center"/>
          </w:tcPr>
          <w:p w14:paraId="5825A296">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87</w:t>
            </w:r>
          </w:p>
        </w:tc>
        <w:tc>
          <w:tcPr>
            <w:tcW w:w="1404" w:type="dxa"/>
            <w:vAlign w:val="center"/>
          </w:tcPr>
          <w:p w14:paraId="12547DDC">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974.2</w:t>
            </w:r>
          </w:p>
        </w:tc>
        <w:tc>
          <w:tcPr>
            <w:tcW w:w="1041" w:type="dxa"/>
            <w:vAlign w:val="center"/>
          </w:tcPr>
          <w:p w14:paraId="20B62FAB">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0.3</w:t>
            </w:r>
          </w:p>
        </w:tc>
      </w:tr>
      <w:tr w14:paraId="51D73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51C23661">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04.7.28</w:t>
            </w:r>
          </w:p>
        </w:tc>
        <w:tc>
          <w:tcPr>
            <w:tcW w:w="1498" w:type="dxa"/>
            <w:vAlign w:val="center"/>
          </w:tcPr>
          <w:p w14:paraId="36F055A1">
            <w:pPr>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25.5</w:t>
            </w:r>
          </w:p>
        </w:tc>
        <w:tc>
          <w:tcPr>
            <w:tcW w:w="1404" w:type="dxa"/>
            <w:vAlign w:val="center"/>
          </w:tcPr>
          <w:p w14:paraId="436D5A72">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43" w:name="_Toc325206099"/>
            <w:bookmarkStart w:id="44" w:name="_Toc332360851"/>
            <w:bookmarkStart w:id="45" w:name="_Toc325206188"/>
            <w:r>
              <w:rPr>
                <w:rFonts w:cs="Times New Roman" w:asciiTheme="minorEastAsia" w:hAnsiTheme="minorEastAsia" w:eastAsiaTheme="minorEastAsia"/>
                <w:color w:val="auto"/>
                <w:sz w:val="24"/>
                <w:szCs w:val="24"/>
                <w:highlight w:val="none"/>
              </w:rPr>
              <w:t>27.1</w:t>
            </w:r>
            <w:bookmarkEnd w:id="43"/>
            <w:bookmarkEnd w:id="44"/>
            <w:bookmarkEnd w:id="45"/>
          </w:p>
        </w:tc>
        <w:tc>
          <w:tcPr>
            <w:tcW w:w="1404" w:type="dxa"/>
            <w:vAlign w:val="center"/>
          </w:tcPr>
          <w:p w14:paraId="294842E7">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89</w:t>
            </w:r>
          </w:p>
        </w:tc>
        <w:tc>
          <w:tcPr>
            <w:tcW w:w="1404" w:type="dxa"/>
            <w:vAlign w:val="center"/>
          </w:tcPr>
          <w:p w14:paraId="4FCB23AB">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977.0</w:t>
            </w:r>
          </w:p>
        </w:tc>
        <w:tc>
          <w:tcPr>
            <w:tcW w:w="1041" w:type="dxa"/>
            <w:vAlign w:val="center"/>
          </w:tcPr>
          <w:p w14:paraId="73CE1C9D">
            <w:pPr>
              <w:pStyle w:val="30"/>
              <w:snapToGrid w:val="0"/>
              <w:jc w:val="center"/>
              <w:outlineLvl w:val="0"/>
              <w:rPr>
                <w:rFonts w:cs="Times New Roman" w:asciiTheme="minorEastAsia" w:hAnsiTheme="minorEastAsia" w:eastAsiaTheme="minorEastAsia"/>
                <w:color w:val="auto"/>
                <w:sz w:val="24"/>
                <w:szCs w:val="24"/>
                <w:highlight w:val="none"/>
              </w:rPr>
            </w:pPr>
            <w:bookmarkStart w:id="46" w:name="_Toc332360852"/>
            <w:bookmarkStart w:id="47" w:name="_Toc325206189"/>
            <w:bookmarkStart w:id="48" w:name="_Toc325206100"/>
            <w:r>
              <w:rPr>
                <w:rFonts w:cs="Times New Roman" w:asciiTheme="minorEastAsia" w:hAnsiTheme="minorEastAsia" w:eastAsiaTheme="minorEastAsia"/>
                <w:color w:val="auto"/>
                <w:sz w:val="24"/>
                <w:szCs w:val="24"/>
                <w:highlight w:val="none"/>
              </w:rPr>
              <w:t>1.3</w:t>
            </w:r>
            <w:bookmarkEnd w:id="46"/>
            <w:bookmarkEnd w:id="47"/>
            <w:bookmarkEnd w:id="48"/>
          </w:p>
        </w:tc>
      </w:tr>
      <w:tr w14:paraId="123E5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3AE5F406">
            <w:pPr>
              <w:pStyle w:val="30"/>
              <w:snapToGrid w:val="0"/>
              <w:jc w:val="center"/>
              <w:outlineLvl w:val="0"/>
              <w:rPr>
                <w:rFonts w:cs="Times New Roman" w:asciiTheme="minorEastAsia" w:hAnsiTheme="minorEastAsia" w:eastAsiaTheme="minorEastAsia"/>
                <w:color w:val="auto"/>
                <w:sz w:val="24"/>
                <w:szCs w:val="24"/>
                <w:highlight w:val="none"/>
              </w:rPr>
            </w:pPr>
            <w:bookmarkStart w:id="49" w:name="_Toc325206190"/>
            <w:bookmarkStart w:id="50" w:name="_Toc325206101"/>
            <w:bookmarkStart w:id="51" w:name="_Toc332360853"/>
            <w:r>
              <w:rPr>
                <w:rFonts w:cs="Times New Roman" w:asciiTheme="minorEastAsia" w:hAnsiTheme="minorEastAsia" w:eastAsiaTheme="minorEastAsia"/>
                <w:color w:val="auto"/>
                <w:sz w:val="24"/>
                <w:szCs w:val="24"/>
                <w:highlight w:val="none"/>
              </w:rPr>
              <w:t>05.8.10</w:t>
            </w:r>
            <w:bookmarkEnd w:id="49"/>
            <w:bookmarkEnd w:id="50"/>
            <w:bookmarkEnd w:id="51"/>
          </w:p>
        </w:tc>
        <w:tc>
          <w:tcPr>
            <w:tcW w:w="1498" w:type="dxa"/>
            <w:vAlign w:val="center"/>
          </w:tcPr>
          <w:p w14:paraId="0BCE9CF7">
            <w:pPr>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25.5</w:t>
            </w:r>
          </w:p>
        </w:tc>
        <w:tc>
          <w:tcPr>
            <w:tcW w:w="1404" w:type="dxa"/>
            <w:vAlign w:val="center"/>
          </w:tcPr>
          <w:p w14:paraId="6EE81EB6">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52" w:name="_Toc325206191"/>
            <w:bookmarkStart w:id="53" w:name="_Toc332360854"/>
            <w:bookmarkStart w:id="54" w:name="_Toc325206102"/>
            <w:r>
              <w:rPr>
                <w:rFonts w:cs="Times New Roman" w:asciiTheme="minorEastAsia" w:hAnsiTheme="minorEastAsia" w:eastAsiaTheme="minorEastAsia"/>
                <w:color w:val="auto"/>
                <w:sz w:val="24"/>
                <w:szCs w:val="24"/>
                <w:highlight w:val="none"/>
              </w:rPr>
              <w:t>29.5</w:t>
            </w:r>
            <w:bookmarkEnd w:id="52"/>
            <w:bookmarkEnd w:id="53"/>
            <w:bookmarkEnd w:id="54"/>
          </w:p>
        </w:tc>
        <w:tc>
          <w:tcPr>
            <w:tcW w:w="1404" w:type="dxa"/>
            <w:vAlign w:val="center"/>
          </w:tcPr>
          <w:p w14:paraId="5C5B1D7D">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72</w:t>
            </w:r>
          </w:p>
        </w:tc>
        <w:tc>
          <w:tcPr>
            <w:tcW w:w="1404" w:type="dxa"/>
            <w:vAlign w:val="center"/>
          </w:tcPr>
          <w:p w14:paraId="36055D92">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971.5</w:t>
            </w:r>
          </w:p>
        </w:tc>
        <w:tc>
          <w:tcPr>
            <w:tcW w:w="1041" w:type="dxa"/>
            <w:vAlign w:val="center"/>
          </w:tcPr>
          <w:p w14:paraId="72F47927">
            <w:pPr>
              <w:pStyle w:val="30"/>
              <w:snapToGrid w:val="0"/>
              <w:jc w:val="center"/>
              <w:outlineLvl w:val="0"/>
              <w:rPr>
                <w:rFonts w:cs="Times New Roman" w:asciiTheme="minorEastAsia" w:hAnsiTheme="minorEastAsia" w:eastAsiaTheme="minorEastAsia"/>
                <w:color w:val="auto"/>
                <w:sz w:val="24"/>
                <w:szCs w:val="24"/>
                <w:highlight w:val="none"/>
              </w:rPr>
            </w:pPr>
            <w:bookmarkStart w:id="55" w:name="_Toc325206103"/>
            <w:bookmarkStart w:id="56" w:name="_Toc332360855"/>
            <w:bookmarkStart w:id="57" w:name="_Toc325206192"/>
            <w:r>
              <w:rPr>
                <w:rFonts w:cs="Times New Roman" w:asciiTheme="minorEastAsia" w:hAnsiTheme="minorEastAsia" w:eastAsiaTheme="minorEastAsia"/>
                <w:color w:val="auto"/>
                <w:sz w:val="24"/>
                <w:szCs w:val="24"/>
                <w:highlight w:val="none"/>
              </w:rPr>
              <w:t>0</w:t>
            </w:r>
            <w:bookmarkEnd w:id="55"/>
            <w:bookmarkEnd w:id="56"/>
            <w:bookmarkEnd w:id="57"/>
          </w:p>
        </w:tc>
      </w:tr>
    </w:tbl>
    <w:p w14:paraId="2F88E2B8">
      <w:pPr>
        <w:spacing w:line="360" w:lineRule="auto"/>
        <w:rPr>
          <w:rFonts w:cs="Arial" w:asciiTheme="minorEastAsia" w:hAnsiTheme="minorEastAsia" w:eastAsiaTheme="minorEastAsia"/>
          <w:snapToGrid w:val="0"/>
          <w:color w:val="auto"/>
          <w:sz w:val="24"/>
          <w:szCs w:val="24"/>
          <w:highlight w:val="none"/>
        </w:rPr>
      </w:pPr>
    </w:p>
    <w:p w14:paraId="5A54B32B">
      <w:pPr>
        <w:spacing w:line="360" w:lineRule="auto"/>
        <w:rPr>
          <w:rFonts w:asciiTheme="minorEastAsia" w:hAnsiTheme="minorEastAsia" w:eastAsiaTheme="minorEastAsia"/>
          <w:snapToGrid w:val="0"/>
          <w:color w:val="auto"/>
          <w:sz w:val="24"/>
          <w:szCs w:val="24"/>
          <w:highlight w:val="none"/>
        </w:rPr>
      </w:pPr>
      <w:r>
        <w:rPr>
          <w:rFonts w:hint="eastAsia" w:cs="Arial" w:asciiTheme="minorEastAsia" w:hAnsiTheme="minorEastAsia" w:eastAsiaTheme="minorEastAsia"/>
          <w:snapToGrid w:val="0"/>
          <w:color w:val="auto"/>
          <w:sz w:val="24"/>
          <w:szCs w:val="24"/>
          <w:highlight w:val="none"/>
        </w:rPr>
        <w:t xml:space="preserve">2.2.6 </w:t>
      </w:r>
      <w:r>
        <w:rPr>
          <w:rFonts w:hint="eastAsia" w:asciiTheme="minorEastAsia" w:hAnsiTheme="minorEastAsia" w:eastAsiaTheme="minorEastAsia"/>
          <w:snapToGrid w:val="0"/>
          <w:color w:val="auto"/>
          <w:sz w:val="24"/>
          <w:szCs w:val="24"/>
          <w:highlight w:val="none"/>
        </w:rPr>
        <w:t>厂内压缩空气</w:t>
      </w:r>
    </w:p>
    <w:p w14:paraId="6B6074DA">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压力：0.4～0.7</w:t>
      </w:r>
      <w:r>
        <w:rPr>
          <w:rFonts w:ascii="宋体" w:hAnsi="宋体" w:eastAsia="宋体"/>
          <w:color w:val="auto"/>
          <w:sz w:val="24"/>
          <w:szCs w:val="24"/>
          <w:highlight w:val="none"/>
        </w:rPr>
        <w:t>M</w:t>
      </w:r>
      <w:r>
        <w:rPr>
          <w:rFonts w:hint="eastAsia" w:ascii="宋体" w:hAnsi="宋体" w:eastAsia="宋体"/>
          <w:color w:val="auto"/>
          <w:sz w:val="24"/>
          <w:szCs w:val="24"/>
          <w:highlight w:val="none"/>
        </w:rPr>
        <w:t>P</w:t>
      </w:r>
      <w:r>
        <w:rPr>
          <w:rFonts w:ascii="宋体" w:hAnsi="宋体" w:eastAsia="宋体"/>
          <w:color w:val="auto"/>
          <w:sz w:val="24"/>
          <w:szCs w:val="24"/>
          <w:highlight w:val="none"/>
        </w:rPr>
        <w:t>a</w:t>
      </w:r>
      <w:r>
        <w:rPr>
          <w:rFonts w:hint="eastAsia" w:ascii="宋体" w:hAnsi="宋体" w:eastAsia="宋体"/>
          <w:color w:val="auto"/>
          <w:sz w:val="24"/>
          <w:szCs w:val="24"/>
          <w:highlight w:val="none"/>
        </w:rPr>
        <w:t>.g</w:t>
      </w:r>
    </w:p>
    <w:p w14:paraId="35FFD072">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含油量： </w:t>
      </w:r>
      <w:r>
        <w:rPr>
          <w:rFonts w:ascii="宋体" w:hAnsi="宋体" w:eastAsia="宋体"/>
          <w:color w:val="auto"/>
          <w:sz w:val="24"/>
          <w:szCs w:val="24"/>
          <w:highlight w:val="none"/>
        </w:rPr>
        <w:t>≤</w:t>
      </w:r>
      <w:r>
        <w:rPr>
          <w:rFonts w:hint="eastAsia" w:ascii="宋体" w:hAnsi="宋体" w:eastAsia="宋体"/>
          <w:color w:val="auto"/>
          <w:sz w:val="24"/>
          <w:szCs w:val="24"/>
          <w:highlight w:val="none"/>
        </w:rPr>
        <w:t>3</w:t>
      </w:r>
      <w:r>
        <w:rPr>
          <w:rFonts w:ascii="宋体" w:hAnsi="宋体" w:eastAsia="宋体"/>
          <w:color w:val="auto"/>
          <w:sz w:val="24"/>
          <w:szCs w:val="24"/>
          <w:highlight w:val="none"/>
        </w:rPr>
        <w:t>ppm</w:t>
      </w:r>
    </w:p>
    <w:p w14:paraId="5C1A895E">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气体含尘颗粒直径：</w:t>
      </w:r>
      <w:r>
        <w:rPr>
          <w:rFonts w:ascii="宋体" w:hAnsi="宋体" w:eastAsia="宋体"/>
          <w:color w:val="auto"/>
          <w:sz w:val="24"/>
          <w:szCs w:val="24"/>
          <w:highlight w:val="none"/>
        </w:rPr>
        <w:t>≤</w:t>
      </w:r>
      <w:r>
        <w:rPr>
          <w:rFonts w:hint="eastAsia" w:ascii="宋体" w:hAnsi="宋体" w:eastAsia="宋体"/>
          <w:color w:val="auto"/>
          <w:sz w:val="24"/>
          <w:szCs w:val="24"/>
          <w:highlight w:val="none"/>
        </w:rPr>
        <w:t>3</w:t>
      </w:r>
      <w:r>
        <w:rPr>
          <w:rFonts w:ascii="宋体" w:hAnsi="宋体" w:eastAsia="宋体"/>
          <w:color w:val="auto"/>
          <w:sz w:val="24"/>
          <w:szCs w:val="24"/>
          <w:highlight w:val="none"/>
        </w:rPr>
        <w:t>μm</w:t>
      </w:r>
    </w:p>
    <w:p w14:paraId="2D0B4F8A">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在排气压力下露点不高于-20</w:t>
      </w:r>
      <w:r>
        <w:rPr>
          <w:rFonts w:ascii="宋体" w:hAnsi="宋体" w:eastAsia="宋体"/>
          <w:color w:val="auto"/>
          <w:sz w:val="24"/>
          <w:szCs w:val="24"/>
          <w:highlight w:val="none"/>
        </w:rPr>
        <w:t>ºC</w:t>
      </w:r>
    </w:p>
    <w:p w14:paraId="5F0C87E2">
      <w:pPr>
        <w:spacing w:line="360" w:lineRule="auto"/>
        <w:rPr>
          <w:rFonts w:ascii="宋体" w:hAnsi="宋体" w:eastAsia="宋体"/>
          <w:b/>
          <w:color w:val="auto"/>
          <w:sz w:val="24"/>
          <w:szCs w:val="24"/>
          <w:highlight w:val="none"/>
        </w:rPr>
      </w:pPr>
      <w:r>
        <w:rPr>
          <w:rFonts w:hint="eastAsia" w:ascii="宋体" w:hAnsi="宋体" w:eastAsia="宋体" w:cs="Arial"/>
          <w:snapToGrid w:val="0"/>
          <w:color w:val="auto"/>
          <w:sz w:val="24"/>
          <w:szCs w:val="24"/>
          <w:highlight w:val="none"/>
        </w:rPr>
        <w:t xml:space="preserve">2.2.7 </w:t>
      </w:r>
      <w:r>
        <w:rPr>
          <w:rFonts w:hint="eastAsia" w:ascii="宋体" w:hAnsi="宋体" w:eastAsia="宋体"/>
          <w:color w:val="auto"/>
          <w:sz w:val="24"/>
          <w:szCs w:val="24"/>
          <w:highlight w:val="none"/>
        </w:rPr>
        <w:t>厂用电系统电压：</w:t>
      </w:r>
    </w:p>
    <w:p w14:paraId="14427F9D">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中压系统为10</w:t>
      </w:r>
      <w:r>
        <w:rPr>
          <w:rFonts w:ascii="宋体" w:hAnsi="宋体" w:eastAsia="宋体"/>
          <w:color w:val="auto"/>
          <w:sz w:val="24"/>
          <w:szCs w:val="24"/>
          <w:highlight w:val="none"/>
        </w:rPr>
        <w:t>kV</w:t>
      </w:r>
      <w:r>
        <w:rPr>
          <w:rFonts w:hint="eastAsia" w:ascii="宋体" w:hAnsi="宋体" w:eastAsia="宋体"/>
          <w:color w:val="auto"/>
          <w:sz w:val="24"/>
          <w:szCs w:val="24"/>
          <w:highlight w:val="none"/>
        </w:rPr>
        <w:t>、三相、</w:t>
      </w:r>
      <w:r>
        <w:rPr>
          <w:rFonts w:ascii="宋体" w:hAnsi="宋体" w:eastAsia="宋体"/>
          <w:color w:val="auto"/>
          <w:sz w:val="24"/>
          <w:szCs w:val="24"/>
          <w:highlight w:val="none"/>
        </w:rPr>
        <w:t>50Hz</w:t>
      </w:r>
      <w:r>
        <w:rPr>
          <w:rFonts w:hint="eastAsia" w:ascii="宋体" w:hAnsi="宋体" w:eastAsia="宋体"/>
          <w:color w:val="auto"/>
          <w:sz w:val="24"/>
          <w:szCs w:val="24"/>
          <w:highlight w:val="none"/>
        </w:rPr>
        <w:t>；额定值</w:t>
      </w:r>
      <w:r>
        <w:rPr>
          <w:rFonts w:ascii="宋体" w:hAnsi="宋体" w:eastAsia="宋体"/>
          <w:color w:val="auto"/>
          <w:sz w:val="24"/>
          <w:szCs w:val="24"/>
          <w:highlight w:val="none"/>
        </w:rPr>
        <w:t>2</w:t>
      </w:r>
      <w:r>
        <w:rPr>
          <w:rFonts w:hint="eastAsia" w:ascii="宋体" w:hAnsi="宋体" w:eastAsia="宋体"/>
          <w:color w:val="auto"/>
          <w:sz w:val="24"/>
          <w:szCs w:val="24"/>
          <w:highlight w:val="none"/>
        </w:rPr>
        <w:t>5</w:t>
      </w:r>
      <w:r>
        <w:rPr>
          <w:rFonts w:ascii="宋体" w:hAnsi="宋体" w:eastAsia="宋体"/>
          <w:color w:val="auto"/>
          <w:sz w:val="24"/>
          <w:szCs w:val="24"/>
          <w:highlight w:val="none"/>
        </w:rPr>
        <w:t>0kW</w:t>
      </w:r>
      <w:r>
        <w:rPr>
          <w:rFonts w:hint="eastAsia" w:ascii="宋体" w:hAnsi="宋体" w:eastAsia="宋体"/>
          <w:color w:val="auto"/>
          <w:sz w:val="24"/>
          <w:szCs w:val="24"/>
          <w:highlight w:val="none"/>
        </w:rPr>
        <w:t>及以上电动机所采用的额定电压为10KV。</w:t>
      </w:r>
    </w:p>
    <w:p w14:paraId="379ED2AD">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低压厂用电系统采用380/220V。低压厂用电系统采用动力中心(PC)和电动机控制中心(MCC)的供电方式。</w:t>
      </w:r>
    </w:p>
    <w:p w14:paraId="1A190108">
      <w:pPr>
        <w:pStyle w:val="282"/>
        <w:wordWrap/>
        <w:overflowPunct/>
        <w:autoSpaceDE/>
        <w:autoSpaceDN/>
        <w:snapToGrid w:val="0"/>
        <w:spacing w:line="360" w:lineRule="auto"/>
        <w:ind w:firstLineChars="200"/>
        <w:rPr>
          <w:rFonts w:hAnsi="宋体" w:cs="宋体"/>
          <w:color w:val="auto"/>
          <w:szCs w:val="24"/>
          <w:highlight w:val="none"/>
        </w:rPr>
      </w:pPr>
      <w:r>
        <w:rPr>
          <w:rFonts w:hint="eastAsia" w:hAnsi="宋体" w:cs="宋体"/>
          <w:color w:val="auto"/>
          <w:szCs w:val="24"/>
          <w:highlight w:val="none"/>
        </w:rPr>
        <w:t>10KV厂用电系统采用中性点经电阻接地系统，低压厂用电系统采用中性点直接接地系统。</w:t>
      </w:r>
    </w:p>
    <w:p w14:paraId="44943BDA">
      <w:pPr>
        <w:spacing w:after="0" w:line="360" w:lineRule="auto"/>
        <w:ind w:firstLine="480" w:firstLineChars="200"/>
        <w:rPr>
          <w:rFonts w:ascii="宋体" w:hAnsi="宋体" w:eastAsia="宋体"/>
          <w:color w:val="auto"/>
          <w:kern w:val="2"/>
          <w:sz w:val="24"/>
          <w:szCs w:val="24"/>
          <w:highlight w:val="none"/>
        </w:rPr>
      </w:pPr>
      <w:r>
        <w:rPr>
          <w:rFonts w:hint="eastAsia" w:ascii="宋体" w:hAnsi="宋体" w:eastAsia="宋体"/>
          <w:color w:val="auto"/>
          <w:kern w:val="2"/>
          <w:sz w:val="24"/>
          <w:szCs w:val="24"/>
          <w:highlight w:val="none"/>
        </w:rPr>
        <w:t>设备照明和维修电压：</w:t>
      </w:r>
    </w:p>
    <w:p w14:paraId="7E2C1CAD">
      <w:pPr>
        <w:spacing w:after="0" w:line="360" w:lineRule="auto"/>
        <w:ind w:firstLine="480" w:firstLineChars="200"/>
        <w:rPr>
          <w:rFonts w:ascii="宋体" w:hAnsi="宋体" w:eastAsia="宋体"/>
          <w:color w:val="auto"/>
          <w:kern w:val="2"/>
          <w:sz w:val="24"/>
          <w:szCs w:val="24"/>
          <w:highlight w:val="none"/>
        </w:rPr>
      </w:pPr>
      <w:r>
        <w:rPr>
          <w:rFonts w:hint="eastAsia" w:ascii="宋体" w:hAnsi="宋体" w:eastAsia="宋体"/>
          <w:color w:val="auto"/>
          <w:kern w:val="2"/>
          <w:sz w:val="24"/>
          <w:szCs w:val="24"/>
          <w:highlight w:val="none"/>
        </w:rPr>
        <w:t>设备照明由单独的</w:t>
      </w:r>
      <w:r>
        <w:rPr>
          <w:rFonts w:ascii="宋体" w:hAnsi="宋体" w:eastAsia="宋体"/>
          <w:color w:val="auto"/>
          <w:kern w:val="2"/>
          <w:sz w:val="24"/>
          <w:szCs w:val="24"/>
          <w:highlight w:val="none"/>
        </w:rPr>
        <w:t>400/230V</w:t>
      </w:r>
      <w:r>
        <w:rPr>
          <w:rFonts w:hint="eastAsia" w:ascii="宋体" w:hAnsi="宋体" w:eastAsia="宋体"/>
          <w:color w:val="auto"/>
          <w:kern w:val="2"/>
          <w:sz w:val="24"/>
          <w:szCs w:val="24"/>
          <w:highlight w:val="none"/>
        </w:rPr>
        <w:t>照明变压器引出。</w:t>
      </w:r>
    </w:p>
    <w:p w14:paraId="2531A89B">
      <w:pPr>
        <w:pStyle w:val="282"/>
        <w:wordWrap/>
        <w:overflowPunct/>
        <w:autoSpaceDE/>
        <w:autoSpaceDN/>
        <w:snapToGrid w:val="0"/>
        <w:spacing w:line="360" w:lineRule="auto"/>
        <w:ind w:firstLineChars="200"/>
        <w:rPr>
          <w:rFonts w:hAnsi="宋体" w:cstheme="minorBidi"/>
          <w:color w:val="auto"/>
          <w:kern w:val="2"/>
          <w:szCs w:val="24"/>
          <w:highlight w:val="none"/>
        </w:rPr>
      </w:pPr>
      <w:r>
        <w:rPr>
          <w:rFonts w:hint="eastAsia" w:hAnsi="宋体" w:cstheme="minorBidi"/>
          <w:color w:val="auto"/>
          <w:kern w:val="2"/>
          <w:szCs w:val="24"/>
          <w:highlight w:val="none"/>
        </w:rPr>
        <w:t>维修插座电源额定电压为</w:t>
      </w:r>
      <w:r>
        <w:rPr>
          <w:rFonts w:hAnsi="宋体" w:cstheme="minorBidi"/>
          <w:color w:val="auto"/>
          <w:kern w:val="2"/>
          <w:szCs w:val="24"/>
          <w:highlight w:val="none"/>
        </w:rPr>
        <w:t>400V</w:t>
      </w:r>
      <w:r>
        <w:rPr>
          <w:rFonts w:hint="eastAsia" w:hAnsi="宋体" w:cstheme="minorBidi"/>
          <w:color w:val="auto"/>
          <w:kern w:val="2"/>
          <w:szCs w:val="24"/>
          <w:highlight w:val="none"/>
        </w:rPr>
        <w:t>、</w:t>
      </w:r>
      <w:r>
        <w:rPr>
          <w:rFonts w:hAnsi="宋体" w:cstheme="minorBidi"/>
          <w:color w:val="auto"/>
          <w:kern w:val="2"/>
          <w:szCs w:val="24"/>
          <w:highlight w:val="none"/>
        </w:rPr>
        <w:t>70A</w:t>
      </w:r>
      <w:r>
        <w:rPr>
          <w:rFonts w:hint="eastAsia" w:hAnsi="宋体" w:cstheme="minorBidi"/>
          <w:color w:val="auto"/>
          <w:kern w:val="2"/>
          <w:szCs w:val="24"/>
          <w:highlight w:val="none"/>
        </w:rPr>
        <w:t>、三相、</w:t>
      </w:r>
      <w:r>
        <w:rPr>
          <w:rFonts w:hAnsi="宋体" w:cstheme="minorBidi"/>
          <w:color w:val="auto"/>
          <w:kern w:val="2"/>
          <w:szCs w:val="24"/>
          <w:highlight w:val="none"/>
        </w:rPr>
        <w:t>50Hz</w:t>
      </w:r>
      <w:r>
        <w:rPr>
          <w:rFonts w:hint="eastAsia" w:hAnsi="宋体" w:cstheme="minorBidi"/>
          <w:color w:val="auto"/>
          <w:kern w:val="2"/>
          <w:szCs w:val="24"/>
          <w:highlight w:val="none"/>
        </w:rPr>
        <w:t>；单相</w:t>
      </w:r>
      <w:r>
        <w:rPr>
          <w:rFonts w:hAnsi="宋体" w:cstheme="minorBidi"/>
          <w:color w:val="auto"/>
          <w:kern w:val="2"/>
          <w:szCs w:val="24"/>
          <w:highlight w:val="none"/>
        </w:rPr>
        <w:t>230V</w:t>
      </w:r>
      <w:r>
        <w:rPr>
          <w:rFonts w:hint="eastAsia" w:hAnsi="宋体" w:cstheme="minorBidi"/>
          <w:color w:val="auto"/>
          <w:kern w:val="2"/>
          <w:szCs w:val="24"/>
          <w:highlight w:val="none"/>
        </w:rPr>
        <w:t>、</w:t>
      </w:r>
      <w:r>
        <w:rPr>
          <w:rFonts w:hAnsi="宋体" w:cstheme="minorBidi"/>
          <w:color w:val="auto"/>
          <w:kern w:val="2"/>
          <w:szCs w:val="24"/>
          <w:highlight w:val="none"/>
        </w:rPr>
        <w:t>20A</w:t>
      </w:r>
      <w:r>
        <w:rPr>
          <w:rFonts w:hint="eastAsia" w:hAnsi="宋体" w:cstheme="minorBidi"/>
          <w:color w:val="auto"/>
          <w:kern w:val="2"/>
          <w:szCs w:val="24"/>
          <w:highlight w:val="none"/>
        </w:rPr>
        <w:t>。</w:t>
      </w:r>
    </w:p>
    <w:p w14:paraId="12D7742D">
      <w:pPr>
        <w:keepNext/>
        <w:spacing w:before="140" w:after="140" w:line="360" w:lineRule="auto"/>
        <w:outlineLvl w:val="1"/>
        <w:rPr>
          <w:rFonts w:cs="黑体" w:asciiTheme="minorEastAsia" w:hAnsiTheme="minorEastAsia" w:eastAsiaTheme="minorEastAsia"/>
          <w:color w:val="auto"/>
          <w:kern w:val="2"/>
          <w:sz w:val="24"/>
          <w:szCs w:val="24"/>
          <w:highlight w:val="none"/>
        </w:rPr>
      </w:pPr>
      <w:r>
        <w:rPr>
          <w:rFonts w:hint="eastAsia" w:ascii="宋体" w:hAnsi="宋体" w:eastAsia="宋体"/>
          <w:color w:val="auto"/>
          <w:kern w:val="2"/>
          <w:sz w:val="24"/>
          <w:szCs w:val="24"/>
          <w:highlight w:val="none"/>
        </w:rPr>
        <w:t>3.</w:t>
      </w:r>
      <w:bookmarkEnd w:id="22"/>
      <w:bookmarkStart w:id="58" w:name="_Toc11310"/>
      <w:bookmarkStart w:id="59" w:name="_Toc32082"/>
      <w:r>
        <w:rPr>
          <w:rFonts w:hint="eastAsia" w:cs="Times New Roman" w:asciiTheme="minorEastAsia" w:hAnsiTheme="minorEastAsia" w:eastAsiaTheme="minorEastAsia"/>
          <w:color w:val="auto"/>
          <w:kern w:val="2"/>
          <w:sz w:val="24"/>
          <w:szCs w:val="24"/>
          <w:highlight w:val="none"/>
        </w:rPr>
        <w:t xml:space="preserve"> 标准和规范</w:t>
      </w:r>
      <w:bookmarkEnd w:id="58"/>
      <w:bookmarkEnd w:id="59"/>
    </w:p>
    <w:p w14:paraId="16F7E12A">
      <w:pPr>
        <w:widowControl w:val="0"/>
        <w:spacing w:line="360" w:lineRule="auto"/>
        <w:ind w:firstLine="480" w:firstLineChars="200"/>
        <w:jc w:val="both"/>
        <w:rPr>
          <w:rFonts w:asciiTheme="minorEastAsia" w:hAnsiTheme="minorEastAsia" w:eastAsiaTheme="minorEastAsia"/>
          <w:color w:val="auto"/>
          <w:kern w:val="2"/>
          <w:sz w:val="24"/>
          <w:szCs w:val="24"/>
          <w:highlight w:val="none"/>
          <w:lang w:val="zh-CN"/>
        </w:rPr>
      </w:pPr>
      <w:r>
        <w:rPr>
          <w:rFonts w:hint="eastAsia" w:asciiTheme="minorEastAsia" w:hAnsiTheme="minorEastAsia" w:eastAsiaTheme="minorEastAsia"/>
          <w:color w:val="auto"/>
          <w:kern w:val="2"/>
          <w:sz w:val="24"/>
          <w:szCs w:val="24"/>
          <w:highlight w:val="none"/>
          <w:lang w:val="zh-CN"/>
        </w:rPr>
        <w:t>3.1</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rPr>
        <w:t>及其系统</w:t>
      </w:r>
      <w:r>
        <w:rPr>
          <w:rFonts w:hint="eastAsia" w:asciiTheme="minorEastAsia" w:hAnsiTheme="minorEastAsia" w:eastAsiaTheme="minorEastAsia"/>
          <w:color w:val="auto"/>
          <w:kern w:val="2"/>
          <w:sz w:val="24"/>
          <w:szCs w:val="24"/>
          <w:highlight w:val="none"/>
          <w:lang w:val="zh-CN"/>
        </w:rPr>
        <w:t>和附属设备包括投标人向其他厂商购买的所有附件和部件应符合相应的标准规范或法规的最新版本或其修正本，签订协议时起生效的任何更正和增补的要求，并严格执行国家关于工程的质量、安全、工业卫生、劳动保护、文明施工、环保、消防等强制性标准和国家颁发的“工程建设标准强制性条文”，当标准、规范之间出现矛盾时，按高标准执行。</w:t>
      </w:r>
    </w:p>
    <w:p w14:paraId="622A70D5">
      <w:pPr>
        <w:widowControl w:val="0"/>
        <w:spacing w:line="360" w:lineRule="auto"/>
        <w:ind w:firstLine="480" w:firstLineChars="200"/>
        <w:jc w:val="both"/>
        <w:rPr>
          <w:rFonts w:asciiTheme="minorEastAsia" w:hAnsiTheme="minorEastAsia" w:eastAsiaTheme="minorEastAsia"/>
          <w:color w:val="auto"/>
          <w:kern w:val="2"/>
          <w:sz w:val="24"/>
          <w:szCs w:val="24"/>
          <w:highlight w:val="none"/>
          <w:lang w:val="zh-CN"/>
        </w:rPr>
      </w:pPr>
      <w:r>
        <w:rPr>
          <w:rFonts w:hint="eastAsia" w:asciiTheme="minorEastAsia" w:hAnsiTheme="minorEastAsia" w:eastAsiaTheme="minorEastAsia"/>
          <w:color w:val="auto"/>
          <w:kern w:val="2"/>
          <w:sz w:val="24"/>
          <w:szCs w:val="24"/>
          <w:highlight w:val="none"/>
          <w:lang w:val="zh-CN"/>
        </w:rPr>
        <w:t>3.2除非合同另有规定，</w:t>
      </w:r>
      <w:bookmarkStart w:id="60" w:name="OLE_LINK25"/>
      <w:bookmarkStart w:id="61" w:name="OLE_LINK26"/>
      <w:r>
        <w:rPr>
          <w:rFonts w:hint="eastAsia" w:ascii="宋体" w:hAnsi="宋体" w:eastAsia="宋体" w:cs="Times New Roman"/>
          <w:color w:val="auto"/>
          <w:sz w:val="24"/>
          <w:szCs w:val="24"/>
          <w:highlight w:val="none"/>
        </w:rPr>
        <w:t>锅炉壁温系统升级改造</w:t>
      </w:r>
      <w:bookmarkEnd w:id="60"/>
      <w:bookmarkEnd w:id="61"/>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lang w:val="zh-CN"/>
        </w:rPr>
        <w:t>必须遵守国家最新的标准(GB)和国家法定的计量单位以及本章约定的其他标准。如</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lang w:val="zh-CN"/>
        </w:rPr>
        <w:t>中采用进口或引进技术或合资或合作产品，还应遵守产品原产地、采用的技术合作或支持方的国家标准，但所有螺栓、双头螺栓、螺纹、管螺纹、螺栓夹及螺母均应遵守国际标准化组织(ISO)和国际单位制(SI)的标准。</w:t>
      </w:r>
    </w:p>
    <w:p w14:paraId="2DDDBB53">
      <w:pPr>
        <w:widowControl w:val="0"/>
        <w:spacing w:line="360" w:lineRule="auto"/>
        <w:ind w:firstLine="480" w:firstLineChars="200"/>
        <w:jc w:val="both"/>
        <w:rPr>
          <w:rFonts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3.3</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rPr>
        <w:t>应遵循以下主要现行的国家、行业标准和规程（请选所列标准中适用本标段的标准）</w:t>
      </w:r>
    </w:p>
    <w:p w14:paraId="5BFAB789">
      <w:pPr>
        <w:widowControl w:val="0"/>
        <w:spacing w:line="360" w:lineRule="auto"/>
        <w:jc w:val="both"/>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w:t>
      </w:r>
      <w:bookmarkStart w:id="62" w:name="_Toc339543884"/>
      <w:r>
        <w:rPr>
          <w:rFonts w:hint="eastAsia" w:cs="仿宋" w:asciiTheme="minorEastAsia" w:hAnsiTheme="minorEastAsia" w:eastAsiaTheme="minorEastAsia"/>
          <w:color w:val="auto"/>
          <w:kern w:val="2"/>
          <w:sz w:val="24"/>
          <w:szCs w:val="24"/>
          <w:highlight w:val="none"/>
        </w:rPr>
        <w:t>.3.1.1 电力建设工程施工及验收规范、质量验评标准</w:t>
      </w:r>
    </w:p>
    <w:bookmarkEnd w:id="62"/>
    <w:tbl>
      <w:tblPr>
        <w:tblStyle w:val="58"/>
        <w:tblW w:w="485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5716"/>
        <w:gridCol w:w="2544"/>
      </w:tblGrid>
      <w:tr w14:paraId="30F99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19" w:type="pct"/>
            <w:shd w:val="clear" w:color="auto" w:fill="auto"/>
            <w:vAlign w:val="center"/>
          </w:tcPr>
          <w:p w14:paraId="28642091">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编号</w:t>
            </w:r>
          </w:p>
        </w:tc>
        <w:tc>
          <w:tcPr>
            <w:tcW w:w="3170" w:type="pct"/>
            <w:shd w:val="clear" w:color="auto" w:fill="auto"/>
            <w:vAlign w:val="center"/>
          </w:tcPr>
          <w:p w14:paraId="3D34D610">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名　　　　称</w:t>
            </w:r>
          </w:p>
        </w:tc>
        <w:tc>
          <w:tcPr>
            <w:tcW w:w="1411" w:type="pct"/>
            <w:shd w:val="clear" w:color="auto" w:fill="auto"/>
            <w:vAlign w:val="center"/>
          </w:tcPr>
          <w:p w14:paraId="1800E30A">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现行有效标准</w:t>
            </w:r>
          </w:p>
        </w:tc>
      </w:tr>
      <w:tr w14:paraId="14D6C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52D0B8C">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w:t>
            </w:r>
          </w:p>
        </w:tc>
        <w:tc>
          <w:tcPr>
            <w:tcW w:w="3170" w:type="pct"/>
            <w:shd w:val="clear" w:color="auto" w:fill="auto"/>
            <w:vAlign w:val="center"/>
          </w:tcPr>
          <w:p w14:paraId="542E2A6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第1部分：土建结构工程</w:t>
            </w:r>
          </w:p>
        </w:tc>
        <w:tc>
          <w:tcPr>
            <w:tcW w:w="1411" w:type="pct"/>
            <w:shd w:val="clear" w:color="auto" w:fill="auto"/>
            <w:vAlign w:val="center"/>
          </w:tcPr>
          <w:p w14:paraId="1F09F99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 5190.1-2022</w:t>
            </w:r>
          </w:p>
        </w:tc>
      </w:tr>
      <w:tr w14:paraId="02C58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18DFB3A">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2</w:t>
            </w:r>
          </w:p>
        </w:tc>
        <w:tc>
          <w:tcPr>
            <w:tcW w:w="3170" w:type="pct"/>
            <w:shd w:val="clear" w:color="auto" w:fill="auto"/>
            <w:vAlign w:val="center"/>
          </w:tcPr>
          <w:p w14:paraId="34C0435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第2部分：锅炉机组</w:t>
            </w:r>
          </w:p>
        </w:tc>
        <w:tc>
          <w:tcPr>
            <w:tcW w:w="1411" w:type="pct"/>
            <w:shd w:val="clear" w:color="auto" w:fill="auto"/>
            <w:vAlign w:val="center"/>
          </w:tcPr>
          <w:p w14:paraId="336C495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5190.2-2019</w:t>
            </w:r>
          </w:p>
        </w:tc>
      </w:tr>
      <w:tr w14:paraId="18BFF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57B2092">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w:t>
            </w:r>
          </w:p>
        </w:tc>
        <w:tc>
          <w:tcPr>
            <w:tcW w:w="3170" w:type="pct"/>
            <w:shd w:val="clear" w:color="auto" w:fill="auto"/>
            <w:vAlign w:val="center"/>
          </w:tcPr>
          <w:p w14:paraId="4A9A2D1D">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第3部分：汽轮发电机组</w:t>
            </w:r>
          </w:p>
        </w:tc>
        <w:tc>
          <w:tcPr>
            <w:tcW w:w="1411" w:type="pct"/>
            <w:shd w:val="clear" w:color="auto" w:fill="auto"/>
            <w:vAlign w:val="center"/>
          </w:tcPr>
          <w:p w14:paraId="6F26CB2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5190.3-2019</w:t>
            </w:r>
          </w:p>
        </w:tc>
      </w:tr>
      <w:tr w14:paraId="36F9D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33D5FB2">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4</w:t>
            </w:r>
          </w:p>
        </w:tc>
        <w:tc>
          <w:tcPr>
            <w:tcW w:w="3170" w:type="pct"/>
            <w:shd w:val="clear" w:color="auto" w:fill="auto"/>
            <w:vAlign w:val="center"/>
          </w:tcPr>
          <w:p w14:paraId="4768970B">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第4部分:热工仪表及控制装置</w:t>
            </w:r>
          </w:p>
        </w:tc>
        <w:tc>
          <w:tcPr>
            <w:tcW w:w="1411" w:type="pct"/>
            <w:shd w:val="clear" w:color="auto" w:fill="auto"/>
            <w:vAlign w:val="center"/>
          </w:tcPr>
          <w:p w14:paraId="7258F3E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DL5190.4—2019</w:t>
            </w:r>
          </w:p>
        </w:tc>
      </w:tr>
      <w:tr w14:paraId="07995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CBC3210">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5</w:t>
            </w:r>
          </w:p>
        </w:tc>
        <w:tc>
          <w:tcPr>
            <w:tcW w:w="3170" w:type="pct"/>
            <w:shd w:val="clear" w:color="auto" w:fill="auto"/>
            <w:vAlign w:val="center"/>
          </w:tcPr>
          <w:p w14:paraId="13EFBCD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第5部分：管道及系统</w:t>
            </w:r>
          </w:p>
        </w:tc>
        <w:tc>
          <w:tcPr>
            <w:tcW w:w="1411" w:type="pct"/>
            <w:shd w:val="clear" w:color="auto" w:fill="auto"/>
            <w:vAlign w:val="center"/>
          </w:tcPr>
          <w:p w14:paraId="3FAEB7D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DL5190.5—2019</w:t>
            </w:r>
          </w:p>
        </w:tc>
      </w:tr>
      <w:tr w14:paraId="0FD4C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25044E0">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6</w:t>
            </w:r>
          </w:p>
        </w:tc>
        <w:tc>
          <w:tcPr>
            <w:tcW w:w="3170" w:type="pct"/>
            <w:shd w:val="clear" w:color="auto" w:fill="auto"/>
            <w:vAlign w:val="center"/>
          </w:tcPr>
          <w:p w14:paraId="6176D1A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金属熔化焊对接接头射线检测技术和质量分级</w:t>
            </w:r>
          </w:p>
        </w:tc>
        <w:tc>
          <w:tcPr>
            <w:tcW w:w="1411" w:type="pct"/>
            <w:shd w:val="clear" w:color="auto" w:fill="auto"/>
            <w:vAlign w:val="center"/>
          </w:tcPr>
          <w:p w14:paraId="00E4212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 821-2017</w:t>
            </w:r>
          </w:p>
        </w:tc>
      </w:tr>
      <w:tr w14:paraId="03932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22F532E">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7</w:t>
            </w:r>
          </w:p>
        </w:tc>
        <w:tc>
          <w:tcPr>
            <w:tcW w:w="3170" w:type="pct"/>
            <w:shd w:val="clear" w:color="auto" w:fill="auto"/>
            <w:vAlign w:val="center"/>
          </w:tcPr>
          <w:p w14:paraId="7924BBC1">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第1部分：土建工程</w:t>
            </w:r>
          </w:p>
        </w:tc>
        <w:tc>
          <w:tcPr>
            <w:tcW w:w="1411" w:type="pct"/>
            <w:shd w:val="clear" w:color="auto" w:fill="auto"/>
            <w:vAlign w:val="center"/>
          </w:tcPr>
          <w:p w14:paraId="3FF6596C">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DL/T5210.1-2021</w:t>
            </w:r>
          </w:p>
        </w:tc>
      </w:tr>
      <w:tr w14:paraId="39CC2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0AA02F0F">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8</w:t>
            </w:r>
          </w:p>
        </w:tc>
        <w:tc>
          <w:tcPr>
            <w:tcW w:w="3170" w:type="pct"/>
            <w:shd w:val="clear" w:color="auto" w:fill="auto"/>
            <w:vAlign w:val="center"/>
          </w:tcPr>
          <w:p w14:paraId="6E8DBBC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第2部分：锅炉机组</w:t>
            </w:r>
          </w:p>
        </w:tc>
        <w:tc>
          <w:tcPr>
            <w:tcW w:w="1411" w:type="pct"/>
            <w:shd w:val="clear" w:color="auto" w:fill="auto"/>
            <w:vAlign w:val="center"/>
          </w:tcPr>
          <w:p w14:paraId="595F0C0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DL/T5210.2-2018</w:t>
            </w:r>
          </w:p>
        </w:tc>
      </w:tr>
      <w:tr w14:paraId="2B921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6D7AEF3F">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9</w:t>
            </w:r>
          </w:p>
        </w:tc>
        <w:tc>
          <w:tcPr>
            <w:tcW w:w="3170" w:type="pct"/>
            <w:shd w:val="clear" w:color="auto" w:fill="auto"/>
            <w:vAlign w:val="center"/>
          </w:tcPr>
          <w:p w14:paraId="3146C04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第3部分：汽轮发电机组</w:t>
            </w:r>
          </w:p>
        </w:tc>
        <w:tc>
          <w:tcPr>
            <w:tcW w:w="1411" w:type="pct"/>
            <w:shd w:val="clear" w:color="auto" w:fill="auto"/>
            <w:vAlign w:val="center"/>
          </w:tcPr>
          <w:p w14:paraId="274D9F8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DL/T5210.3-2018</w:t>
            </w:r>
          </w:p>
        </w:tc>
      </w:tr>
      <w:tr w14:paraId="4436E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51393095">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10</w:t>
            </w:r>
          </w:p>
        </w:tc>
        <w:tc>
          <w:tcPr>
            <w:tcW w:w="3170" w:type="pct"/>
            <w:shd w:val="clear" w:color="auto" w:fill="auto"/>
            <w:vAlign w:val="center"/>
          </w:tcPr>
          <w:p w14:paraId="448A871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第4部分：热工仪表及控制装置</w:t>
            </w:r>
          </w:p>
        </w:tc>
        <w:tc>
          <w:tcPr>
            <w:tcW w:w="1411" w:type="pct"/>
            <w:shd w:val="clear" w:color="auto" w:fill="auto"/>
            <w:vAlign w:val="center"/>
          </w:tcPr>
          <w:p w14:paraId="34701CB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DL/T5210.4-2018</w:t>
            </w:r>
          </w:p>
        </w:tc>
      </w:tr>
      <w:tr w14:paraId="13DB0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EE6E1B3">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11</w:t>
            </w:r>
          </w:p>
        </w:tc>
        <w:tc>
          <w:tcPr>
            <w:tcW w:w="3170" w:type="pct"/>
            <w:shd w:val="clear" w:color="auto" w:fill="auto"/>
            <w:vAlign w:val="center"/>
          </w:tcPr>
          <w:p w14:paraId="174DA21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第5部分：焊接</w:t>
            </w:r>
          </w:p>
        </w:tc>
        <w:tc>
          <w:tcPr>
            <w:tcW w:w="1411" w:type="pct"/>
            <w:shd w:val="clear" w:color="auto" w:fill="auto"/>
            <w:vAlign w:val="center"/>
          </w:tcPr>
          <w:p w14:paraId="670D9C7C">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DL/T5210.5-2018</w:t>
            </w:r>
          </w:p>
        </w:tc>
      </w:tr>
      <w:tr w14:paraId="4A43C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BEDE214">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12</w:t>
            </w:r>
          </w:p>
        </w:tc>
        <w:tc>
          <w:tcPr>
            <w:tcW w:w="3170" w:type="pct"/>
            <w:shd w:val="clear" w:color="auto" w:fill="auto"/>
            <w:vAlign w:val="center"/>
          </w:tcPr>
          <w:p w14:paraId="67E12F80">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第6部分：调整试验</w:t>
            </w:r>
          </w:p>
        </w:tc>
        <w:tc>
          <w:tcPr>
            <w:tcW w:w="1411" w:type="pct"/>
            <w:shd w:val="clear" w:color="auto" w:fill="auto"/>
            <w:vAlign w:val="center"/>
          </w:tcPr>
          <w:p w14:paraId="5E88389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5190.6-2019</w:t>
            </w:r>
          </w:p>
        </w:tc>
      </w:tr>
      <w:tr w14:paraId="5DA02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CD347B6">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13</w:t>
            </w:r>
          </w:p>
        </w:tc>
        <w:tc>
          <w:tcPr>
            <w:tcW w:w="3170" w:type="pct"/>
            <w:shd w:val="clear" w:color="auto" w:fill="auto"/>
            <w:vAlign w:val="center"/>
          </w:tcPr>
          <w:p w14:paraId="22A2C1C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高压电器施工及验收规范</w:t>
            </w:r>
          </w:p>
        </w:tc>
        <w:tc>
          <w:tcPr>
            <w:tcW w:w="1411" w:type="pct"/>
            <w:shd w:val="clear" w:color="auto" w:fill="auto"/>
            <w:vAlign w:val="center"/>
          </w:tcPr>
          <w:p w14:paraId="1537E383">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GB50147-2010</w:t>
            </w:r>
          </w:p>
        </w:tc>
      </w:tr>
      <w:tr w14:paraId="33A8C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734CD353">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14</w:t>
            </w:r>
          </w:p>
        </w:tc>
        <w:tc>
          <w:tcPr>
            <w:tcW w:w="3170" w:type="pct"/>
            <w:shd w:val="clear" w:color="auto" w:fill="auto"/>
            <w:vAlign w:val="center"/>
          </w:tcPr>
          <w:p w14:paraId="1761416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旋转电机施工及验收标准</w:t>
            </w:r>
          </w:p>
        </w:tc>
        <w:tc>
          <w:tcPr>
            <w:tcW w:w="1411" w:type="pct"/>
            <w:shd w:val="clear" w:color="auto" w:fill="auto"/>
            <w:vAlign w:val="center"/>
          </w:tcPr>
          <w:p w14:paraId="4F09F6E8">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GB50170-2018</w:t>
            </w:r>
          </w:p>
        </w:tc>
      </w:tr>
      <w:tr w14:paraId="6B854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645F951">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15</w:t>
            </w:r>
          </w:p>
        </w:tc>
        <w:tc>
          <w:tcPr>
            <w:tcW w:w="3170" w:type="pct"/>
            <w:shd w:val="clear" w:color="auto" w:fill="auto"/>
            <w:vAlign w:val="center"/>
          </w:tcPr>
          <w:p w14:paraId="49A30BF8">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盘、柜及二次回路接线施工及验收规范</w:t>
            </w:r>
          </w:p>
        </w:tc>
        <w:tc>
          <w:tcPr>
            <w:tcW w:w="1411" w:type="pct"/>
            <w:shd w:val="clear" w:color="auto" w:fill="auto"/>
            <w:vAlign w:val="center"/>
          </w:tcPr>
          <w:p w14:paraId="0911260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 50171—2012</w:t>
            </w:r>
          </w:p>
        </w:tc>
      </w:tr>
      <w:tr w14:paraId="38B5E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AAE3CBD">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16</w:t>
            </w:r>
          </w:p>
        </w:tc>
        <w:tc>
          <w:tcPr>
            <w:tcW w:w="3170" w:type="pct"/>
            <w:shd w:val="clear" w:color="auto" w:fill="auto"/>
            <w:vAlign w:val="center"/>
          </w:tcPr>
          <w:p w14:paraId="3E99E06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火力发电建设工程启动试运及验收规程</w:t>
            </w:r>
          </w:p>
        </w:tc>
        <w:tc>
          <w:tcPr>
            <w:tcW w:w="1411" w:type="pct"/>
            <w:shd w:val="clear" w:color="auto" w:fill="auto"/>
            <w:vAlign w:val="center"/>
          </w:tcPr>
          <w:p w14:paraId="3EE04B9F">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DL/T5437-2022</w:t>
            </w:r>
          </w:p>
        </w:tc>
      </w:tr>
    </w:tbl>
    <w:p w14:paraId="09F9272D">
      <w:pPr>
        <w:widowControl w:val="0"/>
        <w:spacing w:line="360" w:lineRule="auto"/>
        <w:jc w:val="both"/>
        <w:rPr>
          <w:rFonts w:cs="仿宋" w:asciiTheme="minorEastAsia" w:hAnsiTheme="minorEastAsia" w:eastAsiaTheme="minorEastAsia"/>
          <w:color w:val="auto"/>
          <w:kern w:val="2"/>
          <w:sz w:val="24"/>
          <w:szCs w:val="24"/>
          <w:highlight w:val="none"/>
        </w:rPr>
      </w:pPr>
    </w:p>
    <w:p w14:paraId="72B0D59C">
      <w:pPr>
        <w:widowControl w:val="0"/>
        <w:spacing w:line="360" w:lineRule="auto"/>
        <w:jc w:val="both"/>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3.3.1.2主要的标准和规范</w:t>
      </w:r>
    </w:p>
    <w:tbl>
      <w:tblPr>
        <w:tblStyle w:val="58"/>
        <w:tblW w:w="8080" w:type="dxa"/>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5103"/>
        <w:gridCol w:w="2268"/>
      </w:tblGrid>
      <w:tr w14:paraId="03BEA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71962F4">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序号</w:t>
            </w:r>
          </w:p>
        </w:tc>
        <w:tc>
          <w:tcPr>
            <w:tcW w:w="5103" w:type="dxa"/>
            <w:vAlign w:val="center"/>
          </w:tcPr>
          <w:p w14:paraId="57343CD5">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名称</w:t>
            </w:r>
          </w:p>
        </w:tc>
        <w:tc>
          <w:tcPr>
            <w:tcW w:w="2268" w:type="dxa"/>
            <w:vAlign w:val="center"/>
          </w:tcPr>
          <w:p w14:paraId="4A3C045B">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现行有效版本</w:t>
            </w:r>
          </w:p>
        </w:tc>
      </w:tr>
      <w:tr w14:paraId="6E7E5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28D01C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w:t>
            </w:r>
          </w:p>
        </w:tc>
        <w:tc>
          <w:tcPr>
            <w:tcW w:w="5103" w:type="dxa"/>
            <w:vAlign w:val="center"/>
          </w:tcPr>
          <w:p w14:paraId="36195FC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大中型火力发电厂设计规范</w:t>
            </w:r>
          </w:p>
        </w:tc>
        <w:tc>
          <w:tcPr>
            <w:tcW w:w="2268" w:type="dxa"/>
            <w:vAlign w:val="center"/>
          </w:tcPr>
          <w:p w14:paraId="73D494F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GB50660-2011</w:t>
            </w:r>
          </w:p>
        </w:tc>
      </w:tr>
      <w:tr w14:paraId="5EF709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AAF983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w:t>
            </w:r>
          </w:p>
        </w:tc>
        <w:tc>
          <w:tcPr>
            <w:tcW w:w="5103" w:type="dxa"/>
            <w:vAlign w:val="center"/>
          </w:tcPr>
          <w:p w14:paraId="21D47BA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b/>
                <w:bCs/>
                <w:color w:val="auto"/>
                <w:sz w:val="24"/>
                <w:szCs w:val="24"/>
                <w:highlight w:val="none"/>
              </w:rPr>
              <w:t>火力发电厂汽水管道设计规范</w:t>
            </w:r>
          </w:p>
        </w:tc>
        <w:tc>
          <w:tcPr>
            <w:tcW w:w="2268" w:type="dxa"/>
            <w:vAlign w:val="center"/>
          </w:tcPr>
          <w:p w14:paraId="7EF796A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5054-2016</w:t>
            </w:r>
          </w:p>
        </w:tc>
      </w:tr>
      <w:tr w14:paraId="3AFEC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0C86F2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w:t>
            </w:r>
          </w:p>
        </w:tc>
        <w:tc>
          <w:tcPr>
            <w:tcW w:w="5103" w:type="dxa"/>
            <w:vAlign w:val="center"/>
          </w:tcPr>
          <w:p w14:paraId="381D8A4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火力发电厂与变电站设计防火标准</w:t>
            </w:r>
          </w:p>
        </w:tc>
        <w:tc>
          <w:tcPr>
            <w:tcW w:w="2268" w:type="dxa"/>
            <w:vAlign w:val="center"/>
          </w:tcPr>
          <w:p w14:paraId="02E63ED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GB50229-2019</w:t>
            </w:r>
          </w:p>
        </w:tc>
      </w:tr>
      <w:tr w14:paraId="6388E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1F269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w:t>
            </w:r>
          </w:p>
        </w:tc>
        <w:tc>
          <w:tcPr>
            <w:tcW w:w="5103" w:type="dxa"/>
            <w:vAlign w:val="center"/>
          </w:tcPr>
          <w:p w14:paraId="1139F66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工业企业设计卫生标准</w:t>
            </w:r>
          </w:p>
        </w:tc>
        <w:tc>
          <w:tcPr>
            <w:tcW w:w="2268" w:type="dxa"/>
            <w:vAlign w:val="center"/>
          </w:tcPr>
          <w:p w14:paraId="38C5707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GBZ1-2010</w:t>
            </w:r>
          </w:p>
        </w:tc>
      </w:tr>
      <w:tr w14:paraId="4EEB6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06B641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5</w:t>
            </w:r>
          </w:p>
        </w:tc>
        <w:tc>
          <w:tcPr>
            <w:tcW w:w="5103" w:type="dxa"/>
            <w:vAlign w:val="center"/>
          </w:tcPr>
          <w:p w14:paraId="3E90CF10">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工作场所有害因素职业接触限值 第1部分：化学有害因素</w:t>
            </w:r>
          </w:p>
        </w:tc>
        <w:tc>
          <w:tcPr>
            <w:tcW w:w="2268" w:type="dxa"/>
            <w:vAlign w:val="center"/>
          </w:tcPr>
          <w:p w14:paraId="069C207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GBZ2.1-2019</w:t>
            </w:r>
          </w:p>
        </w:tc>
      </w:tr>
      <w:tr w14:paraId="549DC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3F0A96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6</w:t>
            </w:r>
          </w:p>
        </w:tc>
        <w:tc>
          <w:tcPr>
            <w:tcW w:w="5103" w:type="dxa"/>
            <w:vAlign w:val="center"/>
          </w:tcPr>
          <w:p w14:paraId="3644A4D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工作场所有害因素职业接触限值 第2部分：物理因素</w:t>
            </w:r>
          </w:p>
        </w:tc>
        <w:tc>
          <w:tcPr>
            <w:tcW w:w="2268" w:type="dxa"/>
            <w:vAlign w:val="center"/>
          </w:tcPr>
          <w:p w14:paraId="5C2E259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GBZ2.2-2007</w:t>
            </w:r>
          </w:p>
        </w:tc>
      </w:tr>
      <w:tr w14:paraId="22826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81850C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7</w:t>
            </w:r>
          </w:p>
        </w:tc>
        <w:tc>
          <w:tcPr>
            <w:tcW w:w="5103" w:type="dxa"/>
            <w:vAlign w:val="center"/>
          </w:tcPr>
          <w:p w14:paraId="1FD4268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火力发电厂烟风煤粉管道设计规范</w:t>
            </w:r>
          </w:p>
        </w:tc>
        <w:tc>
          <w:tcPr>
            <w:tcW w:w="2268" w:type="dxa"/>
            <w:vAlign w:val="center"/>
          </w:tcPr>
          <w:p w14:paraId="4946999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5121-2020</w:t>
            </w:r>
          </w:p>
        </w:tc>
      </w:tr>
      <w:tr w14:paraId="7638F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5458C6D">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8</w:t>
            </w:r>
          </w:p>
        </w:tc>
        <w:tc>
          <w:tcPr>
            <w:tcW w:w="5103" w:type="dxa"/>
            <w:vAlign w:val="center"/>
          </w:tcPr>
          <w:p w14:paraId="61C2323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发电厂保温油漆设计规程</w:t>
            </w:r>
          </w:p>
        </w:tc>
        <w:tc>
          <w:tcPr>
            <w:tcW w:w="2268" w:type="dxa"/>
            <w:vAlign w:val="center"/>
          </w:tcPr>
          <w:p w14:paraId="18AFF47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5072-2019</w:t>
            </w:r>
          </w:p>
        </w:tc>
      </w:tr>
      <w:tr w14:paraId="3F4BC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8537329">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9</w:t>
            </w:r>
          </w:p>
        </w:tc>
        <w:tc>
          <w:tcPr>
            <w:tcW w:w="5103" w:type="dxa"/>
            <w:vAlign w:val="center"/>
          </w:tcPr>
          <w:p w14:paraId="5E87013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固定式压力容器安全技术监察规程</w:t>
            </w:r>
          </w:p>
        </w:tc>
        <w:tc>
          <w:tcPr>
            <w:tcW w:w="2268" w:type="dxa"/>
            <w:vAlign w:val="center"/>
          </w:tcPr>
          <w:p w14:paraId="0E68D68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TSG 21-2016</w:t>
            </w:r>
          </w:p>
        </w:tc>
      </w:tr>
      <w:tr w14:paraId="409C9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 w:hRule="atLeast"/>
        </w:trPr>
        <w:tc>
          <w:tcPr>
            <w:tcW w:w="709" w:type="dxa"/>
            <w:vAlign w:val="center"/>
          </w:tcPr>
          <w:p w14:paraId="6DE3B9E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10</w:t>
            </w:r>
          </w:p>
        </w:tc>
        <w:tc>
          <w:tcPr>
            <w:tcW w:w="5103" w:type="dxa"/>
            <w:shd w:val="clear" w:color="auto" w:fill="auto"/>
            <w:vAlign w:val="center"/>
          </w:tcPr>
          <w:p w14:paraId="7C5403A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火力发电厂焊接技术规程</w:t>
            </w:r>
          </w:p>
        </w:tc>
        <w:tc>
          <w:tcPr>
            <w:tcW w:w="2268" w:type="dxa"/>
            <w:shd w:val="clear" w:color="auto" w:fill="auto"/>
            <w:vAlign w:val="center"/>
          </w:tcPr>
          <w:p w14:paraId="786F9BF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DL/T869-2021</w:t>
            </w:r>
          </w:p>
        </w:tc>
      </w:tr>
      <w:tr w14:paraId="17D67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6EAEA8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11</w:t>
            </w:r>
          </w:p>
        </w:tc>
        <w:tc>
          <w:tcPr>
            <w:tcW w:w="5103" w:type="dxa"/>
            <w:vAlign w:val="center"/>
          </w:tcPr>
          <w:p w14:paraId="22AFEF6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钢制对焊管件  类型与参数</w:t>
            </w:r>
          </w:p>
        </w:tc>
        <w:tc>
          <w:tcPr>
            <w:tcW w:w="2268" w:type="dxa"/>
            <w:vAlign w:val="center"/>
          </w:tcPr>
          <w:p w14:paraId="0CA662F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12459-2017</w:t>
            </w:r>
          </w:p>
        </w:tc>
      </w:tr>
      <w:tr w14:paraId="6A903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4C96E2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12</w:t>
            </w:r>
          </w:p>
        </w:tc>
        <w:tc>
          <w:tcPr>
            <w:tcW w:w="5103" w:type="dxa"/>
            <w:vAlign w:val="center"/>
          </w:tcPr>
          <w:p w14:paraId="020A4E3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承压设备无损检测</w:t>
            </w:r>
          </w:p>
        </w:tc>
        <w:tc>
          <w:tcPr>
            <w:tcW w:w="2268" w:type="dxa"/>
            <w:vAlign w:val="center"/>
          </w:tcPr>
          <w:p w14:paraId="44E5376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NB/T 47013.16-2024</w:t>
            </w:r>
          </w:p>
        </w:tc>
      </w:tr>
      <w:tr w14:paraId="325C1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340AF6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13</w:t>
            </w:r>
          </w:p>
        </w:tc>
        <w:tc>
          <w:tcPr>
            <w:tcW w:w="5103" w:type="dxa"/>
            <w:vAlign w:val="center"/>
          </w:tcPr>
          <w:p w14:paraId="5D5E7E2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压力容器涂敷与运输包装</w:t>
            </w:r>
          </w:p>
        </w:tc>
        <w:tc>
          <w:tcPr>
            <w:tcW w:w="2268" w:type="dxa"/>
            <w:vAlign w:val="center"/>
          </w:tcPr>
          <w:p w14:paraId="612AA715">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NB/T 10558-2021</w:t>
            </w:r>
          </w:p>
        </w:tc>
      </w:tr>
      <w:tr w14:paraId="0175D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BCA4D8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14</w:t>
            </w:r>
          </w:p>
        </w:tc>
        <w:tc>
          <w:tcPr>
            <w:tcW w:w="5103" w:type="dxa"/>
            <w:vAlign w:val="center"/>
          </w:tcPr>
          <w:p w14:paraId="42852DB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钢制焊接常压容器</w:t>
            </w:r>
          </w:p>
        </w:tc>
        <w:tc>
          <w:tcPr>
            <w:tcW w:w="2268" w:type="dxa"/>
            <w:vAlign w:val="center"/>
          </w:tcPr>
          <w:p w14:paraId="634AAF1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NB/T 47003.1-2022</w:t>
            </w:r>
          </w:p>
        </w:tc>
      </w:tr>
      <w:tr w14:paraId="74A5F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58F7E9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15</w:t>
            </w:r>
          </w:p>
        </w:tc>
        <w:tc>
          <w:tcPr>
            <w:tcW w:w="5103" w:type="dxa"/>
            <w:vAlign w:val="center"/>
          </w:tcPr>
          <w:p w14:paraId="3876A13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锅炉平台扶梯技术规范</w:t>
            </w:r>
          </w:p>
        </w:tc>
        <w:tc>
          <w:tcPr>
            <w:tcW w:w="2268" w:type="dxa"/>
            <w:vAlign w:val="center"/>
          </w:tcPr>
          <w:p w14:paraId="7D696DD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T/CEC 323-2020</w:t>
            </w:r>
          </w:p>
        </w:tc>
      </w:tr>
      <w:tr w14:paraId="0C9FE1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8BAEE4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16</w:t>
            </w:r>
          </w:p>
        </w:tc>
        <w:tc>
          <w:tcPr>
            <w:tcW w:w="5103" w:type="dxa"/>
            <w:vAlign w:val="center"/>
          </w:tcPr>
          <w:p w14:paraId="75552B9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固定式钢梯及平台安全要求</w:t>
            </w:r>
          </w:p>
        </w:tc>
        <w:tc>
          <w:tcPr>
            <w:tcW w:w="2268" w:type="dxa"/>
            <w:vAlign w:val="center"/>
          </w:tcPr>
          <w:p w14:paraId="77D223B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4053.1-3-2009</w:t>
            </w:r>
          </w:p>
        </w:tc>
      </w:tr>
      <w:tr w14:paraId="1343E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C735F5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17</w:t>
            </w:r>
          </w:p>
        </w:tc>
        <w:tc>
          <w:tcPr>
            <w:tcW w:w="5103" w:type="dxa"/>
            <w:vAlign w:val="center"/>
          </w:tcPr>
          <w:p w14:paraId="3397096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火力发电厂金属技术监督规程</w:t>
            </w:r>
          </w:p>
        </w:tc>
        <w:tc>
          <w:tcPr>
            <w:tcW w:w="2268" w:type="dxa"/>
            <w:vAlign w:val="center"/>
          </w:tcPr>
          <w:p w14:paraId="676B634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438-2023</w:t>
            </w:r>
          </w:p>
        </w:tc>
      </w:tr>
      <w:tr w14:paraId="20AE2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9D1A23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18</w:t>
            </w:r>
          </w:p>
        </w:tc>
        <w:tc>
          <w:tcPr>
            <w:tcW w:w="5103" w:type="dxa"/>
            <w:vAlign w:val="center"/>
          </w:tcPr>
          <w:p w14:paraId="7DB32E5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火力发电厂焊接技术规程</w:t>
            </w:r>
          </w:p>
        </w:tc>
        <w:tc>
          <w:tcPr>
            <w:tcW w:w="2268" w:type="dxa"/>
            <w:vAlign w:val="center"/>
          </w:tcPr>
          <w:p w14:paraId="0A68BF9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869-2021</w:t>
            </w:r>
          </w:p>
        </w:tc>
      </w:tr>
      <w:tr w14:paraId="744DF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803FCC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20</w:t>
            </w:r>
          </w:p>
        </w:tc>
        <w:tc>
          <w:tcPr>
            <w:tcW w:w="5103" w:type="dxa"/>
            <w:vAlign w:val="center"/>
          </w:tcPr>
          <w:p w14:paraId="2E4451A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火电厂烟气脱硝技术导则</w:t>
            </w:r>
          </w:p>
        </w:tc>
        <w:tc>
          <w:tcPr>
            <w:tcW w:w="2268" w:type="dxa"/>
            <w:vAlign w:val="center"/>
          </w:tcPr>
          <w:p w14:paraId="31970A2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296-2023</w:t>
            </w:r>
          </w:p>
        </w:tc>
      </w:tr>
      <w:tr w14:paraId="73DE7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C0B889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21</w:t>
            </w:r>
          </w:p>
        </w:tc>
        <w:tc>
          <w:tcPr>
            <w:tcW w:w="5103" w:type="dxa"/>
            <w:vAlign w:val="center"/>
          </w:tcPr>
          <w:p w14:paraId="5697B1F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火力发电厂厂用电设计技术规程</w:t>
            </w:r>
          </w:p>
        </w:tc>
        <w:tc>
          <w:tcPr>
            <w:tcW w:w="2268" w:type="dxa"/>
            <w:vAlign w:val="center"/>
          </w:tcPr>
          <w:p w14:paraId="4D9FF6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5153-2014</w:t>
            </w:r>
          </w:p>
        </w:tc>
      </w:tr>
      <w:tr w14:paraId="4EAAF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5AE8A2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22</w:t>
            </w:r>
          </w:p>
        </w:tc>
        <w:tc>
          <w:tcPr>
            <w:tcW w:w="5103" w:type="dxa"/>
            <w:vAlign w:val="center"/>
          </w:tcPr>
          <w:p w14:paraId="3CFB23E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火力发电厂和变电站照明设计技术规定</w:t>
            </w:r>
          </w:p>
        </w:tc>
        <w:tc>
          <w:tcPr>
            <w:tcW w:w="2268" w:type="dxa"/>
            <w:vAlign w:val="center"/>
          </w:tcPr>
          <w:p w14:paraId="0AC3F3D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5390-2014</w:t>
            </w:r>
          </w:p>
        </w:tc>
      </w:tr>
      <w:tr w14:paraId="5A16A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D3D9C09">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23</w:t>
            </w:r>
          </w:p>
        </w:tc>
        <w:tc>
          <w:tcPr>
            <w:tcW w:w="5103" w:type="dxa"/>
            <w:vAlign w:val="center"/>
          </w:tcPr>
          <w:p w14:paraId="1E37A1E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外壳防护等级(IP代码) </w:t>
            </w:r>
          </w:p>
        </w:tc>
        <w:tc>
          <w:tcPr>
            <w:tcW w:w="2268" w:type="dxa"/>
            <w:vAlign w:val="center"/>
          </w:tcPr>
          <w:p w14:paraId="20DD6E1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4208-2017</w:t>
            </w:r>
          </w:p>
        </w:tc>
      </w:tr>
      <w:tr w14:paraId="5FAD7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560EB8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24</w:t>
            </w:r>
          </w:p>
        </w:tc>
        <w:tc>
          <w:tcPr>
            <w:tcW w:w="5103" w:type="dxa"/>
            <w:vAlign w:val="center"/>
          </w:tcPr>
          <w:p w14:paraId="23167FA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火力发电厂、变电所二次接线设计技术规程</w:t>
            </w:r>
          </w:p>
        </w:tc>
        <w:tc>
          <w:tcPr>
            <w:tcW w:w="2268" w:type="dxa"/>
            <w:vAlign w:val="center"/>
          </w:tcPr>
          <w:p w14:paraId="1C537DD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5136-2012</w:t>
            </w:r>
          </w:p>
        </w:tc>
      </w:tr>
      <w:tr w14:paraId="4AC9F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FB8973F">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25</w:t>
            </w:r>
          </w:p>
        </w:tc>
        <w:tc>
          <w:tcPr>
            <w:tcW w:w="5103" w:type="dxa"/>
            <w:vAlign w:val="center"/>
          </w:tcPr>
          <w:p w14:paraId="23FD510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val="en-US" w:eastAsia="zh-CN"/>
              </w:rPr>
              <w:t>继电</w:t>
            </w:r>
            <w:r>
              <w:rPr>
                <w:rFonts w:hint="eastAsia" w:cs="仿宋" w:asciiTheme="minorEastAsia" w:hAnsiTheme="minorEastAsia" w:eastAsiaTheme="minorEastAsia"/>
                <w:color w:val="auto"/>
                <w:sz w:val="24"/>
                <w:szCs w:val="24"/>
                <w:highlight w:val="none"/>
              </w:rPr>
              <w:t>保护和安全自动装置技术规程</w:t>
            </w:r>
          </w:p>
        </w:tc>
        <w:tc>
          <w:tcPr>
            <w:tcW w:w="2268" w:type="dxa"/>
            <w:vAlign w:val="center"/>
          </w:tcPr>
          <w:p w14:paraId="3E0C893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14285-2023</w:t>
            </w:r>
          </w:p>
        </w:tc>
      </w:tr>
      <w:tr w14:paraId="7A30E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B2DF8C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26</w:t>
            </w:r>
          </w:p>
        </w:tc>
        <w:tc>
          <w:tcPr>
            <w:tcW w:w="5103" w:type="dxa"/>
            <w:vAlign w:val="center"/>
          </w:tcPr>
          <w:p w14:paraId="47EE7648">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火力发电厂热工</w:t>
            </w:r>
            <w:r>
              <w:rPr>
                <w:rFonts w:hint="eastAsia" w:cs="仿宋" w:asciiTheme="minorEastAsia" w:hAnsiTheme="minorEastAsia" w:eastAsiaTheme="minorEastAsia"/>
                <w:color w:val="auto"/>
                <w:sz w:val="24"/>
                <w:szCs w:val="24"/>
                <w:highlight w:val="none"/>
                <w:lang w:val="en-US" w:eastAsia="zh-CN"/>
              </w:rPr>
              <w:t>开关量和模拟量</w:t>
            </w:r>
            <w:r>
              <w:rPr>
                <w:rFonts w:hint="eastAsia" w:cs="仿宋" w:asciiTheme="minorEastAsia" w:hAnsiTheme="minorEastAsia" w:eastAsiaTheme="minorEastAsia"/>
                <w:color w:val="auto"/>
                <w:sz w:val="24"/>
                <w:szCs w:val="24"/>
                <w:highlight w:val="none"/>
              </w:rPr>
              <w:t>控制系统设计</w:t>
            </w:r>
            <w:r>
              <w:rPr>
                <w:rFonts w:hint="eastAsia" w:cs="仿宋" w:asciiTheme="minorEastAsia" w:hAnsiTheme="minorEastAsia" w:eastAsiaTheme="minorEastAsia"/>
                <w:color w:val="auto"/>
                <w:sz w:val="24"/>
                <w:szCs w:val="24"/>
                <w:highlight w:val="none"/>
                <w:lang w:val="en-US" w:eastAsia="zh-CN"/>
              </w:rPr>
              <w:t>规程</w:t>
            </w:r>
          </w:p>
        </w:tc>
        <w:tc>
          <w:tcPr>
            <w:tcW w:w="2268" w:type="dxa"/>
            <w:vAlign w:val="center"/>
          </w:tcPr>
          <w:p w14:paraId="7DBAC31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5175-2021</w:t>
            </w:r>
          </w:p>
        </w:tc>
      </w:tr>
      <w:tr w14:paraId="7EE00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F4BD39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27</w:t>
            </w:r>
          </w:p>
        </w:tc>
        <w:tc>
          <w:tcPr>
            <w:tcW w:w="5103" w:type="dxa"/>
            <w:vAlign w:val="center"/>
          </w:tcPr>
          <w:p w14:paraId="3D3DD1E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电力工程电缆设计标准</w:t>
            </w:r>
          </w:p>
        </w:tc>
        <w:tc>
          <w:tcPr>
            <w:tcW w:w="2268" w:type="dxa"/>
            <w:vAlign w:val="center"/>
          </w:tcPr>
          <w:p w14:paraId="0D7282B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50217-2018</w:t>
            </w:r>
          </w:p>
        </w:tc>
      </w:tr>
      <w:tr w14:paraId="7F8E1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B84268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28</w:t>
            </w:r>
          </w:p>
        </w:tc>
        <w:tc>
          <w:tcPr>
            <w:tcW w:w="5103" w:type="dxa"/>
            <w:vAlign w:val="center"/>
          </w:tcPr>
          <w:p w14:paraId="7D2F749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火灾自动报警系统设计规范</w:t>
            </w:r>
          </w:p>
        </w:tc>
        <w:tc>
          <w:tcPr>
            <w:tcW w:w="2268" w:type="dxa"/>
            <w:vAlign w:val="center"/>
          </w:tcPr>
          <w:p w14:paraId="3653AE4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50116-2013</w:t>
            </w:r>
          </w:p>
        </w:tc>
      </w:tr>
      <w:tr w14:paraId="499011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3C1AD3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29</w:t>
            </w:r>
          </w:p>
        </w:tc>
        <w:tc>
          <w:tcPr>
            <w:tcW w:w="5103" w:type="dxa"/>
            <w:vAlign w:val="center"/>
          </w:tcPr>
          <w:p w14:paraId="6C0F637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火灾自动报警系统施工及验收标准</w:t>
            </w:r>
          </w:p>
        </w:tc>
        <w:tc>
          <w:tcPr>
            <w:tcW w:w="2268" w:type="dxa"/>
            <w:vAlign w:val="center"/>
          </w:tcPr>
          <w:p w14:paraId="612F2F05">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50166-2019</w:t>
            </w:r>
          </w:p>
        </w:tc>
      </w:tr>
      <w:tr w14:paraId="4D427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484C87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30</w:t>
            </w:r>
          </w:p>
        </w:tc>
        <w:tc>
          <w:tcPr>
            <w:tcW w:w="5103" w:type="dxa"/>
            <w:vAlign w:val="center"/>
          </w:tcPr>
          <w:p w14:paraId="78C9420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防止电力生产事故的二十五项重点要求（2023年3月）</w:t>
            </w:r>
          </w:p>
        </w:tc>
        <w:tc>
          <w:tcPr>
            <w:tcW w:w="2268" w:type="dxa"/>
            <w:vAlign w:val="center"/>
          </w:tcPr>
          <w:p w14:paraId="0D8E557E">
            <w:pPr>
              <w:pStyle w:val="30"/>
              <w:spacing w:line="400" w:lineRule="exact"/>
              <w:rPr>
                <w:rFonts w:cs="仿宋" w:asciiTheme="minorEastAsia" w:hAnsiTheme="minorEastAsia" w:eastAsiaTheme="minorEastAsia"/>
                <w:color w:val="auto"/>
                <w:sz w:val="24"/>
                <w:szCs w:val="24"/>
                <w:highlight w:val="none"/>
              </w:rPr>
            </w:pPr>
          </w:p>
        </w:tc>
      </w:tr>
      <w:tr w14:paraId="2B910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0B3214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31</w:t>
            </w:r>
          </w:p>
        </w:tc>
        <w:tc>
          <w:tcPr>
            <w:tcW w:w="5103" w:type="dxa"/>
            <w:vAlign w:val="center"/>
          </w:tcPr>
          <w:p w14:paraId="420055E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火力发电厂仪表与控制就地设备安装、管路、电缆设计规程</w:t>
            </w:r>
          </w:p>
        </w:tc>
        <w:tc>
          <w:tcPr>
            <w:tcW w:w="2268" w:type="dxa"/>
            <w:vAlign w:val="center"/>
          </w:tcPr>
          <w:p w14:paraId="3460337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5182-2021</w:t>
            </w:r>
          </w:p>
        </w:tc>
      </w:tr>
      <w:tr w14:paraId="7EC33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FF9937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32</w:t>
            </w:r>
          </w:p>
        </w:tc>
        <w:tc>
          <w:tcPr>
            <w:tcW w:w="5103" w:type="dxa"/>
            <w:vAlign w:val="center"/>
          </w:tcPr>
          <w:p w14:paraId="1E696F8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发电厂热工仪表及控制系统技术监督导则</w:t>
            </w:r>
          </w:p>
        </w:tc>
        <w:tc>
          <w:tcPr>
            <w:tcW w:w="2268" w:type="dxa"/>
            <w:vAlign w:val="center"/>
          </w:tcPr>
          <w:p w14:paraId="3B38F42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1056-2019</w:t>
            </w:r>
          </w:p>
        </w:tc>
      </w:tr>
      <w:tr w14:paraId="7DB2EB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2376A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33</w:t>
            </w:r>
          </w:p>
        </w:tc>
        <w:tc>
          <w:tcPr>
            <w:tcW w:w="5103" w:type="dxa"/>
            <w:vAlign w:val="center"/>
          </w:tcPr>
          <w:p w14:paraId="793DDEE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火力发电厂辅助车间系统仪表与控制设计规程</w:t>
            </w:r>
          </w:p>
        </w:tc>
        <w:tc>
          <w:tcPr>
            <w:tcW w:w="2268" w:type="dxa"/>
            <w:vAlign w:val="center"/>
          </w:tcPr>
          <w:p w14:paraId="3B9DB72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5227-2020</w:t>
            </w:r>
          </w:p>
        </w:tc>
      </w:tr>
      <w:tr w14:paraId="5D646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FA73DF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34</w:t>
            </w:r>
          </w:p>
        </w:tc>
        <w:tc>
          <w:tcPr>
            <w:tcW w:w="5103" w:type="dxa"/>
            <w:vAlign w:val="center"/>
          </w:tcPr>
          <w:p w14:paraId="76E1CC6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火力发电厂热工电源及气源系统设计技术规程</w:t>
            </w:r>
          </w:p>
        </w:tc>
        <w:tc>
          <w:tcPr>
            <w:tcW w:w="2268" w:type="dxa"/>
            <w:vAlign w:val="center"/>
          </w:tcPr>
          <w:p w14:paraId="0E17A81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5455-2012</w:t>
            </w:r>
          </w:p>
        </w:tc>
      </w:tr>
      <w:tr w14:paraId="4B1A31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8F03F7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35</w:t>
            </w:r>
          </w:p>
        </w:tc>
        <w:tc>
          <w:tcPr>
            <w:tcW w:w="5103" w:type="dxa"/>
            <w:vAlign w:val="center"/>
          </w:tcPr>
          <w:p w14:paraId="7D3649E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火力发电厂热工自动化系统检修运行维护规程</w:t>
            </w:r>
          </w:p>
        </w:tc>
        <w:tc>
          <w:tcPr>
            <w:tcW w:w="2268" w:type="dxa"/>
            <w:vAlign w:val="center"/>
          </w:tcPr>
          <w:p w14:paraId="6F60423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774-2015</w:t>
            </w:r>
          </w:p>
        </w:tc>
      </w:tr>
      <w:tr w14:paraId="6B395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D185B1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36</w:t>
            </w:r>
          </w:p>
        </w:tc>
        <w:tc>
          <w:tcPr>
            <w:tcW w:w="5103" w:type="dxa"/>
            <w:vAlign w:val="center"/>
          </w:tcPr>
          <w:p w14:paraId="644D241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火力发电厂热工自动化系统可靠性评估技术导则</w:t>
            </w:r>
          </w:p>
        </w:tc>
        <w:tc>
          <w:tcPr>
            <w:tcW w:w="2268" w:type="dxa"/>
            <w:vAlign w:val="center"/>
          </w:tcPr>
          <w:p w14:paraId="21EDC73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261-2022</w:t>
            </w:r>
          </w:p>
        </w:tc>
      </w:tr>
      <w:tr w14:paraId="48C91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5FC41C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37</w:t>
            </w:r>
          </w:p>
        </w:tc>
        <w:tc>
          <w:tcPr>
            <w:tcW w:w="5103" w:type="dxa"/>
            <w:vAlign w:val="center"/>
          </w:tcPr>
          <w:p w14:paraId="6FFFBEE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建筑结构荷载规范</w:t>
            </w:r>
          </w:p>
        </w:tc>
        <w:tc>
          <w:tcPr>
            <w:tcW w:w="2268" w:type="dxa"/>
            <w:vAlign w:val="center"/>
          </w:tcPr>
          <w:p w14:paraId="48A856F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50009-2012</w:t>
            </w:r>
          </w:p>
        </w:tc>
      </w:tr>
      <w:tr w14:paraId="069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AFC130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38</w:t>
            </w:r>
          </w:p>
        </w:tc>
        <w:tc>
          <w:tcPr>
            <w:tcW w:w="5103" w:type="dxa"/>
            <w:vAlign w:val="center"/>
          </w:tcPr>
          <w:p w14:paraId="0609D291">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钢结构设计</w:t>
            </w:r>
            <w:r>
              <w:rPr>
                <w:rFonts w:hint="eastAsia" w:cs="仿宋" w:asciiTheme="minorEastAsia" w:hAnsiTheme="minorEastAsia" w:eastAsiaTheme="minorEastAsia"/>
                <w:color w:val="auto"/>
                <w:sz w:val="24"/>
                <w:szCs w:val="24"/>
                <w:highlight w:val="none"/>
                <w:lang w:val="en-US" w:eastAsia="zh-CN"/>
              </w:rPr>
              <w:t>标准</w:t>
            </w:r>
          </w:p>
        </w:tc>
        <w:tc>
          <w:tcPr>
            <w:tcW w:w="2268" w:type="dxa"/>
            <w:vAlign w:val="center"/>
          </w:tcPr>
          <w:p w14:paraId="222B93B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50017-2017</w:t>
            </w:r>
          </w:p>
        </w:tc>
      </w:tr>
      <w:tr w14:paraId="4A783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A1358F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39</w:t>
            </w:r>
          </w:p>
        </w:tc>
        <w:tc>
          <w:tcPr>
            <w:tcW w:w="5103" w:type="dxa"/>
            <w:vAlign w:val="center"/>
          </w:tcPr>
          <w:p w14:paraId="7F80E90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动力机器基础设计规范</w:t>
            </w:r>
          </w:p>
        </w:tc>
        <w:tc>
          <w:tcPr>
            <w:tcW w:w="2268" w:type="dxa"/>
            <w:vAlign w:val="center"/>
          </w:tcPr>
          <w:p w14:paraId="0E3DD4A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50040-2020</w:t>
            </w:r>
          </w:p>
        </w:tc>
      </w:tr>
      <w:tr w14:paraId="66CA6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EE6E3A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40</w:t>
            </w:r>
          </w:p>
        </w:tc>
        <w:tc>
          <w:tcPr>
            <w:tcW w:w="5103" w:type="dxa"/>
            <w:vAlign w:val="center"/>
          </w:tcPr>
          <w:p w14:paraId="1FBCCCAB">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工业建筑防腐蚀设计</w:t>
            </w:r>
            <w:r>
              <w:rPr>
                <w:rFonts w:hint="eastAsia" w:cs="仿宋" w:asciiTheme="minorEastAsia" w:hAnsiTheme="minorEastAsia" w:eastAsiaTheme="minorEastAsia"/>
                <w:color w:val="auto"/>
                <w:sz w:val="24"/>
                <w:szCs w:val="24"/>
                <w:highlight w:val="none"/>
                <w:lang w:val="en-US" w:eastAsia="zh-CN"/>
              </w:rPr>
              <w:t>标准</w:t>
            </w:r>
          </w:p>
        </w:tc>
        <w:tc>
          <w:tcPr>
            <w:tcW w:w="2268" w:type="dxa"/>
            <w:vAlign w:val="center"/>
          </w:tcPr>
          <w:p w14:paraId="2820347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50046-2018</w:t>
            </w:r>
          </w:p>
        </w:tc>
      </w:tr>
      <w:tr w14:paraId="53D90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FFBE41C">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41</w:t>
            </w:r>
          </w:p>
        </w:tc>
        <w:tc>
          <w:tcPr>
            <w:tcW w:w="5103" w:type="dxa"/>
            <w:vAlign w:val="center"/>
          </w:tcPr>
          <w:p w14:paraId="73976B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热轧H型钢和部分T型钢</w:t>
            </w:r>
          </w:p>
        </w:tc>
        <w:tc>
          <w:tcPr>
            <w:tcW w:w="2268" w:type="dxa"/>
            <w:vAlign w:val="center"/>
          </w:tcPr>
          <w:p w14:paraId="4F84FE8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11263-2024</w:t>
            </w:r>
          </w:p>
        </w:tc>
      </w:tr>
      <w:tr w14:paraId="13728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2EA30E">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42</w:t>
            </w:r>
          </w:p>
        </w:tc>
        <w:tc>
          <w:tcPr>
            <w:tcW w:w="5103" w:type="dxa"/>
            <w:vAlign w:val="center"/>
          </w:tcPr>
          <w:p w14:paraId="2843F86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《发电厂土建结构设计技术规程》</w:t>
            </w:r>
          </w:p>
        </w:tc>
        <w:tc>
          <w:tcPr>
            <w:tcW w:w="2268" w:type="dxa"/>
            <w:vAlign w:val="center"/>
          </w:tcPr>
          <w:p w14:paraId="753DCAC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 5022-2012</w:t>
            </w:r>
          </w:p>
        </w:tc>
      </w:tr>
      <w:tr w14:paraId="338C0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9D0D3C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43</w:t>
            </w:r>
          </w:p>
        </w:tc>
        <w:tc>
          <w:tcPr>
            <w:tcW w:w="5103" w:type="dxa"/>
            <w:vAlign w:val="center"/>
          </w:tcPr>
          <w:p w14:paraId="773BEBE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《火力发电厂建筑设计规程》</w:t>
            </w:r>
          </w:p>
        </w:tc>
        <w:tc>
          <w:tcPr>
            <w:tcW w:w="2268" w:type="dxa"/>
            <w:vAlign w:val="center"/>
          </w:tcPr>
          <w:p w14:paraId="0A251CA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5094-2024</w:t>
            </w:r>
          </w:p>
        </w:tc>
      </w:tr>
      <w:tr w14:paraId="6AD46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D8249F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44</w:t>
            </w:r>
          </w:p>
        </w:tc>
        <w:tc>
          <w:tcPr>
            <w:tcW w:w="5103" w:type="dxa"/>
            <w:vAlign w:val="center"/>
          </w:tcPr>
          <w:p w14:paraId="06E9748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《工业建筑供暖通风与空气调节设计规范》</w:t>
            </w:r>
          </w:p>
        </w:tc>
        <w:tc>
          <w:tcPr>
            <w:tcW w:w="2268" w:type="dxa"/>
            <w:vAlign w:val="center"/>
          </w:tcPr>
          <w:p w14:paraId="58A7BA1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50019-2015</w:t>
            </w:r>
          </w:p>
        </w:tc>
      </w:tr>
      <w:tr w14:paraId="45B78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D7FB60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45</w:t>
            </w:r>
          </w:p>
        </w:tc>
        <w:tc>
          <w:tcPr>
            <w:tcW w:w="5103" w:type="dxa"/>
            <w:vAlign w:val="center"/>
          </w:tcPr>
          <w:p w14:paraId="532D6E4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《发电厂采暖通风与空气调节设计技术规范》</w:t>
            </w:r>
          </w:p>
        </w:tc>
        <w:tc>
          <w:tcPr>
            <w:tcW w:w="2268" w:type="dxa"/>
            <w:vAlign w:val="center"/>
          </w:tcPr>
          <w:p w14:paraId="7D0FFE4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5035-2016</w:t>
            </w:r>
          </w:p>
        </w:tc>
      </w:tr>
      <w:tr w14:paraId="51C95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2C8712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46</w:t>
            </w:r>
          </w:p>
        </w:tc>
        <w:tc>
          <w:tcPr>
            <w:tcW w:w="5103" w:type="dxa"/>
            <w:vAlign w:val="center"/>
          </w:tcPr>
          <w:p w14:paraId="3796D54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《火力发电厂职业安全设计规程》</w:t>
            </w:r>
          </w:p>
        </w:tc>
        <w:tc>
          <w:tcPr>
            <w:tcW w:w="2268" w:type="dxa"/>
            <w:vAlign w:val="center"/>
          </w:tcPr>
          <w:p w14:paraId="230CE6E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 5053-2012</w:t>
            </w:r>
          </w:p>
        </w:tc>
      </w:tr>
      <w:tr w14:paraId="5F4BE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F57B13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47</w:t>
            </w:r>
          </w:p>
        </w:tc>
        <w:tc>
          <w:tcPr>
            <w:tcW w:w="5103" w:type="dxa"/>
            <w:vAlign w:val="center"/>
          </w:tcPr>
          <w:p w14:paraId="1F93474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《电力工程制图标准》</w:t>
            </w:r>
          </w:p>
        </w:tc>
        <w:tc>
          <w:tcPr>
            <w:tcW w:w="2268" w:type="dxa"/>
            <w:vAlign w:val="center"/>
          </w:tcPr>
          <w:p w14:paraId="6335534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DL/T5028-2015</w:t>
            </w:r>
          </w:p>
        </w:tc>
      </w:tr>
      <w:tr w14:paraId="7A713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E588BEE">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48</w:t>
            </w:r>
          </w:p>
        </w:tc>
        <w:tc>
          <w:tcPr>
            <w:tcW w:w="5103" w:type="dxa"/>
            <w:vAlign w:val="center"/>
          </w:tcPr>
          <w:p w14:paraId="3A076A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《工业企业噪声控制设计规范》</w:t>
            </w:r>
          </w:p>
        </w:tc>
        <w:tc>
          <w:tcPr>
            <w:tcW w:w="2268" w:type="dxa"/>
            <w:vAlign w:val="center"/>
          </w:tcPr>
          <w:p w14:paraId="1654B95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50087-2013</w:t>
            </w:r>
          </w:p>
        </w:tc>
      </w:tr>
      <w:tr w14:paraId="515FD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2B1ACC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49</w:t>
            </w:r>
          </w:p>
        </w:tc>
        <w:tc>
          <w:tcPr>
            <w:tcW w:w="5103" w:type="dxa"/>
            <w:vAlign w:val="center"/>
          </w:tcPr>
          <w:p w14:paraId="7091328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火力发电厂检修用脚手架安全技术规范</w:t>
            </w:r>
          </w:p>
        </w:tc>
        <w:tc>
          <w:tcPr>
            <w:tcW w:w="2268" w:type="dxa"/>
            <w:vAlign w:val="center"/>
          </w:tcPr>
          <w:p w14:paraId="65A2DAC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DB52/T 994-2015</w:t>
            </w:r>
          </w:p>
        </w:tc>
      </w:tr>
      <w:tr w14:paraId="1EA06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B8D733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50</w:t>
            </w:r>
          </w:p>
        </w:tc>
        <w:tc>
          <w:tcPr>
            <w:tcW w:w="5103" w:type="dxa"/>
            <w:vAlign w:val="center"/>
          </w:tcPr>
          <w:p w14:paraId="1EB9CF0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val="en-US" w:eastAsia="zh-CN"/>
              </w:rPr>
              <w:t>扣件式和碗扣式</w:t>
            </w:r>
            <w:r>
              <w:rPr>
                <w:rFonts w:hint="eastAsia" w:cs="仿宋" w:asciiTheme="minorEastAsia" w:hAnsiTheme="minorEastAsia" w:eastAsiaTheme="minorEastAsia"/>
                <w:color w:val="auto"/>
                <w:sz w:val="24"/>
                <w:szCs w:val="24"/>
                <w:highlight w:val="none"/>
              </w:rPr>
              <w:t>钢管脚手架安全选用技术规程</w:t>
            </w:r>
          </w:p>
        </w:tc>
        <w:tc>
          <w:tcPr>
            <w:tcW w:w="2268" w:type="dxa"/>
            <w:vAlign w:val="center"/>
          </w:tcPr>
          <w:p w14:paraId="6A17E89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DB11/T583-2022</w:t>
            </w:r>
          </w:p>
        </w:tc>
      </w:tr>
    </w:tbl>
    <w:p w14:paraId="6B1D2858">
      <w:pPr>
        <w:widowControl w:val="0"/>
        <w:spacing w:line="360" w:lineRule="auto"/>
        <w:jc w:val="both"/>
        <w:rPr>
          <w:rFonts w:cs="仿宋" w:asciiTheme="minorEastAsia" w:hAnsiTheme="minorEastAsia" w:eastAsiaTheme="minorEastAsia"/>
          <w:color w:val="auto"/>
          <w:kern w:val="2"/>
          <w:sz w:val="24"/>
          <w:szCs w:val="24"/>
          <w:highlight w:val="none"/>
        </w:rPr>
      </w:pPr>
    </w:p>
    <w:p w14:paraId="4315093A">
      <w:pPr>
        <w:widowControl w:val="0"/>
        <w:spacing w:line="360" w:lineRule="auto"/>
        <w:ind w:firstLine="480" w:firstLineChars="200"/>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rPr>
        <w:t>实施中所用标准和技术规范均应以合同签订之日为止时的最新版本为准（当相关标准发生抵触时，以最新标准或设计文件为准）。</w:t>
      </w:r>
      <w:r>
        <w:rPr>
          <w:rFonts w:hint="eastAsia" w:cs="仿宋" w:asciiTheme="minorEastAsia" w:hAnsiTheme="minorEastAsia" w:eastAsiaTheme="minorEastAsia"/>
          <w:color w:val="auto"/>
          <w:kern w:val="2"/>
          <w:sz w:val="24"/>
          <w:szCs w:val="24"/>
          <w:highlight w:val="none"/>
          <w:lang w:val="zh-CN"/>
        </w:rPr>
        <w:t>当上述标准不一致时按高标准执行。投标人有责任对本规范书中未提及的技术条款提出补充。如果投标人未以书面形式对本规范书中的条款提出异议，那么招标人可以认为投标人提供的产品完全符合本规范书的技术要求，并以此为依据进行验收。如果投标人在系统设计和产品制造及系统性能验收等方面采用的一些标准和规范不在本节所列的标准和规范范围内，或投标人采用其他标准或规格，则投标人应详细说明其采用的标准或规格，并向招标人提供其采用标准或规格的中文版本。只有当其采用的标准或规格是国际公认的、惯用的和国家强制性标准，且不低于本技术规范的要求时，投标人采用的标准或规格才能为招标人认可。</w:t>
      </w:r>
    </w:p>
    <w:p w14:paraId="6F38E7D8">
      <w:pPr>
        <w:widowControl w:val="0"/>
        <w:spacing w:line="360" w:lineRule="auto"/>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lang w:val="zh-CN"/>
        </w:rPr>
        <w:t>3.4 从合同签订之日至投标人开始施工/制造之日的这段时期内，不论招标人知道与否，投标人有责任及时书面通知招标人有关规程、规范和标准发生的变化，招标人有权提出因规程、规范和标准发生变化而产生的补充要求，投标人应遵守这些要求，且价格不变。</w:t>
      </w:r>
    </w:p>
    <w:p w14:paraId="5654A61F">
      <w:pPr>
        <w:widowControl w:val="0"/>
        <w:spacing w:line="360" w:lineRule="auto"/>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lang w:val="zh-CN"/>
        </w:rPr>
        <w:t>3.5 合同签订后1个月内，投标人应将本标准和规范之外的，适用于本项目的土建或建筑、设计﹑制造﹑检验/试验﹑装配﹑安装﹑调试﹑试运﹑验收﹑试验﹑运行和维护等其他的标准清单给招标人，供招标人确认。</w:t>
      </w:r>
    </w:p>
    <w:p w14:paraId="593D16FB">
      <w:pPr>
        <w:widowControl w:val="0"/>
        <w:spacing w:line="360" w:lineRule="auto"/>
        <w:jc w:val="both"/>
        <w:rPr>
          <w:rFonts w:asciiTheme="minorEastAsia" w:hAnsiTheme="minorEastAsia" w:eastAsiaTheme="minorEastAsia"/>
          <w:b/>
          <w:color w:val="auto"/>
          <w:sz w:val="24"/>
          <w:szCs w:val="24"/>
          <w:highlight w:val="none"/>
        </w:rPr>
      </w:pPr>
    </w:p>
    <w:p w14:paraId="3D19B979">
      <w:pPr>
        <w:spacing w:after="0"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4、技术规范</w:t>
      </w:r>
    </w:p>
    <w:p w14:paraId="537EA7C8">
      <w:pPr>
        <w:spacing w:after="0" w:line="360" w:lineRule="auto"/>
        <w:rPr>
          <w:rFonts w:asciiTheme="minorEastAsia" w:hAnsiTheme="minorEastAsia" w:eastAsiaTheme="minorEastAsia"/>
          <w:color w:val="auto"/>
          <w:sz w:val="24"/>
          <w:szCs w:val="24"/>
          <w:highlight w:val="none"/>
        </w:rPr>
      </w:pPr>
      <w:bookmarkStart w:id="63" w:name="OLE_LINK40"/>
      <w:bookmarkStart w:id="64" w:name="OLE_LINK39"/>
      <w:r>
        <w:rPr>
          <w:rFonts w:asciiTheme="minorEastAsia" w:hAnsiTheme="minorEastAsia" w:eastAsiaTheme="minorEastAsia"/>
          <w:color w:val="auto"/>
          <w:sz w:val="24"/>
          <w:szCs w:val="24"/>
          <w:highlight w:val="none"/>
        </w:rPr>
        <w:t>4.1</w:t>
      </w:r>
      <w:bookmarkStart w:id="65" w:name="OLE_LINK50"/>
      <w:bookmarkStart w:id="66" w:name="OLE_LINK49"/>
      <w:r>
        <w:rPr>
          <w:rFonts w:hint="eastAsia" w:asciiTheme="minorEastAsia" w:hAnsiTheme="minorEastAsia" w:eastAsiaTheme="minorEastAsia"/>
          <w:color w:val="auto"/>
          <w:sz w:val="24"/>
          <w:szCs w:val="24"/>
          <w:highlight w:val="none"/>
        </w:rPr>
        <w:t>锅炉</w:t>
      </w:r>
      <w:bookmarkStart w:id="67" w:name="OLE_LINK35"/>
      <w:bookmarkStart w:id="68" w:name="OLE_LINK38"/>
      <w:bookmarkStart w:id="69" w:name="OLE_LINK29"/>
      <w:bookmarkStart w:id="70" w:name="OLE_LINK30"/>
      <w:r>
        <w:rPr>
          <w:rFonts w:hint="eastAsia" w:asciiTheme="minorEastAsia" w:hAnsiTheme="minorEastAsia" w:eastAsiaTheme="minorEastAsia"/>
          <w:color w:val="auto"/>
          <w:sz w:val="24"/>
          <w:szCs w:val="24"/>
          <w:highlight w:val="none"/>
        </w:rPr>
        <w:t>壁温系统升级</w:t>
      </w:r>
      <w:bookmarkEnd w:id="67"/>
      <w:bookmarkEnd w:id="68"/>
      <w:r>
        <w:rPr>
          <w:rFonts w:hint="eastAsia" w:asciiTheme="minorEastAsia" w:hAnsiTheme="minorEastAsia" w:eastAsiaTheme="minorEastAsia"/>
          <w:color w:val="auto"/>
          <w:sz w:val="24"/>
          <w:szCs w:val="24"/>
          <w:highlight w:val="none"/>
        </w:rPr>
        <w:t>改造</w:t>
      </w:r>
      <w:bookmarkEnd w:id="65"/>
      <w:bookmarkEnd w:id="66"/>
      <w:bookmarkEnd w:id="69"/>
      <w:bookmarkEnd w:id="70"/>
      <w:r>
        <w:rPr>
          <w:rFonts w:hint="eastAsia" w:asciiTheme="minorEastAsia" w:hAnsiTheme="minorEastAsia" w:eastAsiaTheme="minorEastAsia"/>
          <w:color w:val="auto"/>
          <w:sz w:val="24"/>
          <w:szCs w:val="24"/>
          <w:highlight w:val="none"/>
        </w:rPr>
        <w:t>总体要求</w:t>
      </w:r>
    </w:p>
    <w:bookmarkEnd w:id="63"/>
    <w:bookmarkEnd w:id="64"/>
    <w:p w14:paraId="3A57204E">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本次#2锅炉</w:t>
      </w:r>
      <w:r>
        <w:rPr>
          <w:rFonts w:hint="eastAsia" w:asciiTheme="minorEastAsia" w:hAnsiTheme="minorEastAsia" w:eastAsiaTheme="minorEastAsia"/>
          <w:color w:val="auto"/>
          <w:sz w:val="24"/>
          <w:szCs w:val="24"/>
          <w:highlight w:val="none"/>
        </w:rPr>
        <w:t>壁温系统升级改造共计</w:t>
      </w:r>
      <w:r>
        <w:rPr>
          <w:rFonts w:hint="eastAsia" w:asciiTheme="minorEastAsia" w:hAnsiTheme="minorEastAsia" w:eastAsiaTheme="minorEastAsia"/>
          <w:color w:val="auto"/>
          <w:sz w:val="24"/>
          <w:highlight w:val="none"/>
        </w:rPr>
        <w:t>增加1000支壁温测量元件，并将温度测量信号送至壁温智能采集前端系统（通过采集前端接入DCS）。改造所涉及的全部设备、材料、智能前端、DCS硬件、DCS逻辑组态及其它原有系统的变动和恢复等均属于投标方的工作范围。</w:t>
      </w:r>
    </w:p>
    <w:p w14:paraId="4787C7C9">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w:t>
      </w:r>
      <w:bookmarkStart w:id="71" w:name="OLE_LINK54"/>
      <w:bookmarkStart w:id="72" w:name="OLE_LINK53"/>
      <w:r>
        <w:rPr>
          <w:rFonts w:hint="eastAsia" w:asciiTheme="minorEastAsia" w:hAnsiTheme="minorEastAsia" w:eastAsiaTheme="minorEastAsia"/>
          <w:color w:val="auto"/>
          <w:sz w:val="24"/>
          <w:szCs w:val="24"/>
          <w:highlight w:val="none"/>
        </w:rPr>
        <w:t>锅炉壁温系统升级改造</w:t>
      </w:r>
      <w:bookmarkEnd w:id="71"/>
      <w:bookmarkEnd w:id="72"/>
      <w:r>
        <w:rPr>
          <w:rFonts w:hint="eastAsia" w:asciiTheme="minorEastAsia" w:hAnsiTheme="minorEastAsia" w:eastAsiaTheme="minorEastAsia"/>
          <w:color w:val="auto"/>
          <w:sz w:val="24"/>
          <w:highlight w:val="none"/>
        </w:rPr>
        <w:t>项目热控部分的全部设计，保证原有设备、系统、联锁、保护、计量、远动（传）等的准确、完整和安全生产，包括新增设备与原设备的接口。</w:t>
      </w:r>
    </w:p>
    <w:p w14:paraId="0FC73A5D">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投标人应提供</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项目范围内的所有热工检测控制仪表、设备及材料，满足工艺系统的检测和控制要求。所有控制仪表及设备应具有高的可用性、稳定性、可操作性和易维护性，应满足要求的功能。</w:t>
      </w:r>
    </w:p>
    <w:p w14:paraId="6DBE89D7">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项目的仪表及控制设备的设计和供货（含DCS需增加部分：DCS侧的通讯卡件及DCS系统画面组态等），对系统的完整性负责。投标人负责提供详细的说明书、保护定值及</w:t>
      </w:r>
      <w:r>
        <w:rPr>
          <w:rFonts w:hint="eastAsia" w:asciiTheme="minorEastAsia" w:hAnsiTheme="minorEastAsia" w:eastAsiaTheme="minorEastAsia"/>
          <w:color w:val="auto"/>
          <w:sz w:val="24"/>
          <w:szCs w:val="24"/>
          <w:highlight w:val="none"/>
        </w:rPr>
        <w:t>壁温系统升级改造布置图</w:t>
      </w:r>
      <w:r>
        <w:rPr>
          <w:rFonts w:hint="eastAsia" w:asciiTheme="minorEastAsia" w:hAnsiTheme="minorEastAsia" w:eastAsiaTheme="minorEastAsia"/>
          <w:color w:val="auto"/>
          <w:sz w:val="24"/>
          <w:highlight w:val="none"/>
        </w:rPr>
        <w:t>等资料，负责完成DCS系统画面、逻辑组态及调试工作，并负责新增设备及和此次改造相关设备的自动化投入率达到100%,并对最终系统的性能负责。</w:t>
      </w:r>
    </w:p>
    <w:p w14:paraId="47D7B3D5">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投标人提供</w:t>
      </w:r>
      <w:bookmarkStart w:id="73" w:name="OLE_LINK56"/>
      <w:bookmarkStart w:id="74" w:name="OLE_LINK55"/>
      <w:bookmarkStart w:id="75" w:name="OLE_LINK1"/>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w:t>
      </w:r>
      <w:bookmarkEnd w:id="73"/>
      <w:bookmarkEnd w:id="74"/>
      <w:bookmarkEnd w:id="75"/>
      <w:r>
        <w:rPr>
          <w:rFonts w:hint="eastAsia" w:asciiTheme="minorEastAsia" w:hAnsiTheme="minorEastAsia" w:eastAsiaTheme="minorEastAsia"/>
          <w:color w:val="auto"/>
          <w:sz w:val="24"/>
          <w:highlight w:val="none"/>
        </w:rPr>
        <w:t>热控部分的设备、材料、工具，安装</w:t>
      </w:r>
      <w:r>
        <w:rPr>
          <w:rFonts w:hint="eastAsia" w:asciiTheme="minorEastAsia" w:hAnsiTheme="minorEastAsia" w:eastAsiaTheme="minorEastAsia"/>
          <w:color w:val="auto"/>
          <w:sz w:val="24"/>
          <w:highlight w:val="none"/>
          <w:lang w:val="en-US" w:eastAsia="zh-CN"/>
        </w:rPr>
        <w:t>前</w:t>
      </w:r>
      <w:r>
        <w:rPr>
          <w:rFonts w:hint="eastAsia" w:asciiTheme="minorEastAsia" w:hAnsiTheme="minorEastAsia" w:eastAsiaTheme="minorEastAsia"/>
          <w:color w:val="auto"/>
          <w:sz w:val="24"/>
          <w:highlight w:val="none"/>
        </w:rPr>
        <w:t>设备</w:t>
      </w:r>
      <w:r>
        <w:rPr>
          <w:rFonts w:hint="eastAsia" w:asciiTheme="minorEastAsia" w:hAnsiTheme="minorEastAsia" w:eastAsiaTheme="minorEastAsia"/>
          <w:color w:val="auto"/>
          <w:sz w:val="24"/>
          <w:highlight w:val="none"/>
          <w:lang w:val="en-US" w:eastAsia="zh-CN"/>
        </w:rPr>
        <w:t>光谱复查、仪表</w:t>
      </w:r>
      <w:r>
        <w:rPr>
          <w:rFonts w:hint="eastAsia" w:asciiTheme="minorEastAsia" w:hAnsiTheme="minorEastAsia" w:eastAsiaTheme="minorEastAsia"/>
          <w:color w:val="auto"/>
          <w:sz w:val="24"/>
          <w:highlight w:val="none"/>
        </w:rPr>
        <w:t>装置校验</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安装后渗透检测</w:t>
      </w:r>
      <w:r>
        <w:rPr>
          <w:rFonts w:hint="eastAsia" w:asciiTheme="minorEastAsia" w:hAnsiTheme="minorEastAsia" w:eastAsiaTheme="minorEastAsia"/>
          <w:color w:val="auto"/>
          <w:sz w:val="24"/>
          <w:highlight w:val="none"/>
        </w:rPr>
        <w:t>、传动、联锁试验等热控试验。</w:t>
      </w:r>
    </w:p>
    <w:p w14:paraId="4774D99C">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投标人负责将2号机组</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项目新增数据接入厂级SIS系统，包括电厂SIS系统的画面修改、组态、调试等工作。</w:t>
      </w:r>
    </w:p>
    <w:p w14:paraId="2D009B3F">
      <w:pPr>
        <w:tabs>
          <w:tab w:val="left" w:pos="1440"/>
        </w:tabs>
        <w:spacing w:line="360" w:lineRule="auto"/>
        <w:ind w:firstLine="480" w:firstLineChars="200"/>
        <w:rPr>
          <w:rFonts w:asciiTheme="minorEastAsia" w:hAnsiTheme="minorEastAsia" w:eastAsiaTheme="minorEastAsia"/>
          <w:color w:val="auto"/>
          <w:sz w:val="24"/>
          <w:highlight w:val="none"/>
        </w:rPr>
      </w:pPr>
      <w:bookmarkStart w:id="76" w:name="OLE_LINK58"/>
      <w:bookmarkStart w:id="77" w:name="OLE_LINK57"/>
      <w:r>
        <w:rPr>
          <w:rFonts w:hint="eastAsia" w:asciiTheme="minorEastAsia" w:hAnsiTheme="minorEastAsia" w:eastAsiaTheme="minorEastAsia"/>
          <w:color w:val="auto"/>
          <w:sz w:val="24"/>
          <w:highlight w:val="none"/>
        </w:rPr>
        <w:t>本次#2锅炉</w:t>
      </w:r>
      <w:r>
        <w:rPr>
          <w:rFonts w:hint="eastAsia" w:asciiTheme="minorEastAsia" w:hAnsiTheme="minorEastAsia" w:eastAsiaTheme="minorEastAsia"/>
          <w:color w:val="auto"/>
          <w:sz w:val="24"/>
          <w:szCs w:val="24"/>
          <w:highlight w:val="none"/>
        </w:rPr>
        <w:t>壁温系统升级改造共计</w:t>
      </w:r>
      <w:r>
        <w:rPr>
          <w:rFonts w:hint="eastAsia" w:asciiTheme="minorEastAsia" w:hAnsiTheme="minorEastAsia" w:eastAsiaTheme="minorEastAsia"/>
          <w:color w:val="auto"/>
          <w:sz w:val="24"/>
          <w:highlight w:val="none"/>
        </w:rPr>
        <w:t>增加1000支壁温测量元件，并将温度测量信号送至壁温智能采集前端系统（通过采集前端接入DCS）。改造所涉及的全部设备、材料、智能前端、DCS硬件、DCS逻辑组态及其它原有系统的变动和恢复等均属于投标方的工作范围。</w:t>
      </w:r>
      <w:bookmarkEnd w:id="76"/>
      <w:bookmarkEnd w:id="77"/>
    </w:p>
    <w:p w14:paraId="082F46E0">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温度元件接线不设置中间接线盒，温度原件长度应满足直接接入智能前端；智能前端由投标方设计和供货。投标方可根据此提出测点布置方案，供招标方参考。</w:t>
      </w:r>
    </w:p>
    <w:p w14:paraId="1390E289">
      <w:pPr>
        <w:tabs>
          <w:tab w:val="left" w:pos="1440"/>
        </w:tabs>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壁温测点须考虑腐蚀问题，铠装材料采用316L</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；测温元件及其布置（包括表面热电偶的基座及附件）及智能前端均由投标方设计、供货、安装并最终由招标方确定。</w:t>
      </w:r>
    </w:p>
    <w:p w14:paraId="293C0464">
      <w:pPr>
        <w:spacing w:after="0"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4"/>
          <w:highlight w:val="none"/>
          <w:lang w:val="en-US" w:eastAsia="zh-CN"/>
        </w:rPr>
        <w:t>温度元件</w:t>
      </w:r>
      <w:r>
        <w:rPr>
          <w:rFonts w:hint="eastAsia" w:asciiTheme="minorEastAsia" w:hAnsiTheme="minorEastAsia" w:eastAsiaTheme="minorEastAsia"/>
          <w:color w:val="auto"/>
          <w:sz w:val="24"/>
          <w:szCs w:val="24"/>
          <w:highlight w:val="none"/>
        </w:rPr>
        <w:t>采用国产具有同类型工程成熟应用业绩的产品，投标方提供至少三家产品（包括</w:t>
      </w:r>
      <w:r>
        <w:rPr>
          <w:rFonts w:hint="eastAsia" w:asciiTheme="minorEastAsia" w:hAnsiTheme="minorEastAsia" w:eastAsiaTheme="minorEastAsia"/>
          <w:color w:val="auto"/>
          <w:sz w:val="24"/>
          <w:szCs w:val="24"/>
          <w:highlight w:val="none"/>
          <w:lang w:val="en-US" w:eastAsia="zh-CN"/>
        </w:rPr>
        <w:t>上海自仪、重庆川仪、安徽天康</w:t>
      </w:r>
      <w:r>
        <w:rPr>
          <w:rFonts w:hint="eastAsia" w:asciiTheme="minorEastAsia" w:hAnsiTheme="minorEastAsia" w:eastAsiaTheme="minorEastAsia"/>
          <w:color w:val="auto"/>
          <w:sz w:val="24"/>
          <w:szCs w:val="24"/>
          <w:highlight w:val="none"/>
        </w:rPr>
        <w:t>），最高价计入总价，最终由招标方确定。</w:t>
      </w:r>
    </w:p>
    <w:p w14:paraId="50D8B68F">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4.2</w:t>
      </w:r>
      <w:r>
        <w:rPr>
          <w:rFonts w:hint="eastAsia" w:asciiTheme="minorEastAsia" w:hAnsiTheme="minorEastAsia" w:eastAsiaTheme="minorEastAsia"/>
          <w:color w:val="auto"/>
          <w:sz w:val="24"/>
          <w:szCs w:val="24"/>
          <w:highlight w:val="none"/>
        </w:rPr>
        <w:t>锅炉壁温系统升级改造技术方案</w:t>
      </w:r>
    </w:p>
    <w:p w14:paraId="23D61745">
      <w:pPr>
        <w:tabs>
          <w:tab w:val="left" w:pos="1440"/>
        </w:tabs>
        <w:spacing w:line="360" w:lineRule="auto"/>
        <w:ind w:firstLine="360" w:firstLineChars="1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#2机组原设计壁温测点只是代表不同管屏及同屏不同管之间的温度偏差，</w:t>
      </w:r>
      <w:bookmarkStart w:id="78" w:name="OLE_LINK9"/>
      <w:bookmarkStart w:id="79" w:name="OLE_LINK10"/>
      <w:r>
        <w:rPr>
          <w:rFonts w:hint="eastAsia" w:asciiTheme="minorEastAsia" w:hAnsiTheme="minorEastAsia" w:eastAsiaTheme="minorEastAsia"/>
          <w:color w:val="auto"/>
          <w:sz w:val="24"/>
          <w:highlight w:val="none"/>
        </w:rPr>
        <w:t>在低负荷或变负荷条件下，并不能精准反应各受热面的温度状态，存在超温隐患的集中在水冷壁、屏过、末过、末再等受热面</w:t>
      </w:r>
      <w:bookmarkEnd w:id="78"/>
      <w:bookmarkEnd w:id="79"/>
      <w:r>
        <w:rPr>
          <w:rFonts w:hint="eastAsia" w:asciiTheme="minorEastAsia" w:hAnsiTheme="minorEastAsia" w:eastAsiaTheme="minorEastAsia"/>
          <w:color w:val="auto"/>
          <w:sz w:val="24"/>
          <w:highlight w:val="none"/>
        </w:rPr>
        <w:t>。</w:t>
      </w:r>
      <w:bookmarkStart w:id="80" w:name="OLE_LINK65"/>
      <w:bookmarkStart w:id="81" w:name="OLE_LINK64"/>
      <w:r>
        <w:rPr>
          <w:rFonts w:hint="eastAsia" w:asciiTheme="minorEastAsia" w:hAnsiTheme="minorEastAsia" w:eastAsiaTheme="minorEastAsia"/>
          <w:color w:val="auto"/>
          <w:sz w:val="24"/>
          <w:highlight w:val="none"/>
        </w:rPr>
        <w:t>壁温布置现状图</w:t>
      </w:r>
      <w:bookmarkEnd w:id="80"/>
      <w:bookmarkEnd w:id="81"/>
      <w:r>
        <w:rPr>
          <w:rFonts w:hint="eastAsia" w:asciiTheme="minorEastAsia" w:hAnsiTheme="minorEastAsia" w:eastAsiaTheme="minorEastAsia"/>
          <w:color w:val="auto"/>
          <w:sz w:val="24"/>
          <w:highlight w:val="none"/>
        </w:rPr>
        <w:t>详见招标附图一。</w:t>
      </w:r>
    </w:p>
    <w:p w14:paraId="1B772476">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因此屏式过热器出口管子在合适位置增加铺设壁温测点，需增加176点。末级过热器出口管子在合适位置增加铺设壁温测点，需增加207点。同理末级再热器出口管子在合适位置增加铺设壁温测点，需增加285点。水冷壁增加壁温测点按每三根管子增设一只壁温测点，优化后</w:t>
      </w:r>
      <w:bookmarkStart w:id="82" w:name="OLE_LINK28"/>
      <w:bookmarkStart w:id="83" w:name="OLE_LINK27"/>
      <w:r>
        <w:rPr>
          <w:rFonts w:hint="eastAsia" w:asciiTheme="minorEastAsia" w:hAnsiTheme="minorEastAsia" w:eastAsiaTheme="minorEastAsia"/>
          <w:color w:val="auto"/>
          <w:sz w:val="24"/>
          <w:highlight w:val="none"/>
        </w:rPr>
        <w:t>垂直管圈水冷壁出口段共增加设置壁温测点234只</w:t>
      </w:r>
      <w:bookmarkEnd w:id="82"/>
      <w:bookmarkEnd w:id="83"/>
      <w:r>
        <w:rPr>
          <w:rFonts w:hint="eastAsia" w:asciiTheme="minorEastAsia" w:hAnsiTheme="minorEastAsia" w:eastAsiaTheme="minorEastAsia"/>
          <w:color w:val="auto"/>
          <w:sz w:val="24"/>
          <w:highlight w:val="none"/>
        </w:rPr>
        <w:t>，螺旋管圈水冷壁出口段共增加设置壁温测点88只。共计增加1000（含10点备用）个测点。增加的壁温测点永久纳入DCS。</w:t>
      </w:r>
      <w:bookmarkStart w:id="84" w:name="OLE_LINK85"/>
      <w:bookmarkStart w:id="85" w:name="OLE_LINK84"/>
      <w:r>
        <w:rPr>
          <w:rFonts w:hint="eastAsia" w:asciiTheme="minorEastAsia" w:hAnsiTheme="minorEastAsia" w:eastAsiaTheme="minorEastAsia"/>
          <w:color w:val="auto"/>
          <w:sz w:val="24"/>
          <w:szCs w:val="24"/>
          <w:highlight w:val="none"/>
        </w:rPr>
        <w:t>壁温系统升级改造布置图</w:t>
      </w:r>
      <w:bookmarkEnd w:id="84"/>
      <w:bookmarkEnd w:id="85"/>
      <w:r>
        <w:rPr>
          <w:rFonts w:hint="eastAsia" w:asciiTheme="minorEastAsia" w:hAnsiTheme="minorEastAsia" w:eastAsiaTheme="minorEastAsia"/>
          <w:color w:val="auto"/>
          <w:sz w:val="24"/>
          <w:highlight w:val="none"/>
        </w:rPr>
        <w:t>详见</w:t>
      </w:r>
      <w:bookmarkStart w:id="86" w:name="OLE_LINK31"/>
      <w:r>
        <w:rPr>
          <w:rFonts w:hint="eastAsia" w:asciiTheme="minorEastAsia" w:hAnsiTheme="minorEastAsia" w:eastAsiaTheme="minorEastAsia"/>
          <w:color w:val="auto"/>
          <w:sz w:val="24"/>
          <w:highlight w:val="none"/>
        </w:rPr>
        <w:t>招标附图二</w:t>
      </w:r>
      <w:bookmarkEnd w:id="86"/>
      <w:r>
        <w:rPr>
          <w:rFonts w:hint="eastAsia" w:asciiTheme="minorEastAsia" w:hAnsiTheme="minorEastAsia" w:eastAsiaTheme="minorEastAsia"/>
          <w:color w:val="auto"/>
          <w:sz w:val="24"/>
          <w:highlight w:val="none"/>
        </w:rPr>
        <w:t>。（投标人应在此方案的基础上进行二次优化设计以满足本工程#2机组深调负荷下的锅炉水动力安全需求。）</w:t>
      </w:r>
    </w:p>
    <w:p w14:paraId="57423CA3">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壁温热电偶测温元件选用铠装双支并带出厂校验合格报告、壁温热电偶的安装方式为集热块焊接式，壁温热电偶均应配供导热板（集热块），导热块（集热块）材质与所有发生焊接的受热面管束材质保持一致，导热板（集热块）的尺寸、半径等应满足现场的实际需要，便于热电偶的反复安装与拆卸，且传热速度快、坚固耐用,贴面半圆弧度应与管道外径相同。热电偶热敏元件包含二对K分度热电偶专用导线，其绝缘层是硬质包复金属氧化物，用合金钢或不锈钢套管保护</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热电偶为双支型系列（两个热敏元件物理分开），其热元件均为锁紧式</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元件的热响应时间应符合国际标准；热电偶精度：I级±0.4%；热电偶端头组件为防水式接线盒，材料为铝制，外壳防护等级≥IP56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铠装元件均应为双支双分裂绝缘式：铠装偶体内两对偶极不但与外壳绝缘，而且两对偶极相互之间也是绝缘的，互不干扰，其绝缘电阻应符合国际标准要求。</w:t>
      </w:r>
      <w:r>
        <w:rPr>
          <w:rFonts w:hint="eastAsia" w:asciiTheme="minorEastAsia" w:hAnsiTheme="minorEastAsia" w:eastAsiaTheme="minorEastAsia"/>
          <w:color w:val="auto"/>
          <w:sz w:val="24"/>
          <w:highlight w:val="none"/>
          <w:lang w:val="en-US" w:eastAsia="zh-CN"/>
        </w:rPr>
        <w:t>热电偶接线盒至DAS箱采用补偿导线连接，补偿导线性能指标：</w:t>
      </w:r>
      <w:r>
        <w:rPr>
          <w:rFonts w:hint="eastAsia" w:asciiTheme="minorEastAsia" w:hAnsiTheme="minorEastAsia" w:eastAsiaTheme="minorEastAsia"/>
          <w:color w:val="auto"/>
          <w:sz w:val="24"/>
          <w:highlight w:val="none"/>
        </w:rPr>
        <w:t>阻燃型、K 分度精密级、200℃高温、铜塑复合带分屏蔽、氟塑料绝缘 / 护套的热电偶用补偿导线</w:t>
      </w:r>
      <w:r>
        <w:rPr>
          <w:rFonts w:hint="eastAsia" w:asciiTheme="minorEastAsia" w:hAnsiTheme="minorEastAsia" w:eastAsiaTheme="minorEastAsia"/>
          <w:color w:val="auto"/>
          <w:sz w:val="24"/>
          <w:highlight w:val="none"/>
          <w:lang w:eastAsia="zh-CN"/>
        </w:rPr>
        <w:t>。</w:t>
      </w:r>
    </w:p>
    <w:p w14:paraId="7FF8036A">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本次</w:t>
      </w:r>
      <w:bookmarkStart w:id="87" w:name="OLE_LINK18"/>
      <w:bookmarkStart w:id="88" w:name="OLE_LINK17"/>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w:t>
      </w:r>
      <w:bookmarkEnd w:id="87"/>
      <w:bookmarkEnd w:id="88"/>
      <w:r>
        <w:rPr>
          <w:rFonts w:hint="eastAsia" w:asciiTheme="minorEastAsia" w:hAnsiTheme="minorEastAsia" w:eastAsiaTheme="minorEastAsia"/>
          <w:color w:val="auto"/>
          <w:sz w:val="24"/>
          <w:highlight w:val="none"/>
        </w:rPr>
        <w:t>中利旧测点因位置调整需增加的设计、安装（包括安装附件）、调试工作也属于投标人的工作范围。</w:t>
      </w:r>
    </w:p>
    <w:p w14:paraId="0FBBFD17">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因测温元件及数据采集前端基建期采用量较大，为了减少采用设备的类型、降低库存备件的储存量及不使控制系统信号接入方式变的复杂，减少中间转换设备及中间故障环节，本次增加壁温测量所采用的测温元件、I/O数据采集前端与原系统中设备保持一致，设计上亦采用24通道采集盒，以用20备4通道方式总体核算数量。通讯线使用超六类</w:t>
      </w:r>
      <w:r>
        <w:rPr>
          <w:rFonts w:hint="eastAsia" w:asciiTheme="minorEastAsia" w:hAnsiTheme="minorEastAsia" w:eastAsiaTheme="minorEastAsia"/>
          <w:color w:val="auto"/>
          <w:sz w:val="24"/>
          <w:highlight w:val="none"/>
          <w:lang w:val="en-US" w:eastAsia="zh-CN"/>
        </w:rPr>
        <w:t>带屏蔽双绞线</w:t>
      </w:r>
      <w:r>
        <w:rPr>
          <w:rFonts w:hint="eastAsia" w:asciiTheme="minorEastAsia" w:hAnsiTheme="minorEastAsia" w:eastAsiaTheme="minorEastAsia"/>
          <w:color w:val="auto"/>
          <w:sz w:val="24"/>
          <w:highlight w:val="none"/>
        </w:rPr>
        <w:t>，并以RS485通讯方式以RS485通讯转换器接入DCS控制系统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实际温度发生变化时DCS显示温度延迟不大于2S</w:t>
      </w:r>
      <w:r>
        <w:rPr>
          <w:rFonts w:hint="eastAsia" w:asciiTheme="minorEastAsia" w:hAnsiTheme="minorEastAsia" w:eastAsiaTheme="minorEastAsia"/>
          <w:color w:val="auto"/>
          <w:sz w:val="24"/>
          <w:highlight w:val="none"/>
        </w:rPr>
        <w:t>。</w:t>
      </w:r>
    </w:p>
    <w:p w14:paraId="4493610D">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依据实时数据进行动态运算，提供多模块，定制化的预测计算。通过在线壁温采集，编制软件，进行受热面寿命预测，提前预警，精准锁定检修位置，减少锅炉非停次数，延长检修周期。</w:t>
      </w:r>
    </w:p>
    <w:p w14:paraId="68D8AB60">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4.3</w:t>
      </w:r>
      <w:r>
        <w:rPr>
          <w:rFonts w:hint="eastAsia" w:asciiTheme="minorEastAsia" w:hAnsiTheme="minorEastAsia" w:eastAsiaTheme="minorEastAsia"/>
          <w:color w:val="auto"/>
          <w:sz w:val="24"/>
          <w:szCs w:val="24"/>
          <w:highlight w:val="none"/>
        </w:rPr>
        <w:t>壁温智能采集前端技术要求</w:t>
      </w:r>
    </w:p>
    <w:p w14:paraId="41F16E98">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对于国产智能数据采集系统（IDAS）应满足如下要求： </w:t>
      </w:r>
    </w:p>
    <w:p w14:paraId="1F89FDEB">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环境温度-15～75℃，远程智能数据采集前端机采用不锈钢304金属盒外壳，防护等级不低于IP65，具有防振、防干扰、防尘、防潮的功能。投标方应提供所有智能前端的通讯电缆及电源电缆。</w:t>
      </w:r>
    </w:p>
    <w:p w14:paraId="7A2CAEBC">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智能前端通过两个相互独立、冗余配置的通讯接口将数据直接传送到DCS，并具备在线组态功能，通讯距离不低于1200米，通讯介质为屏蔽双绞线或光缆连接。通讯接口双网配置。智能数据采集前端的所有通讯接口具有浪涌保护功能，前端之间电气隔离，采样周期为20ms，可提供RS485/232，MODBUS及PROFIBUS-DP接口形式，提供至少115.2K的通讯速率。</w:t>
      </w:r>
    </w:p>
    <w:p w14:paraId="388A78A2">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必须能够与DCS系统直接进行数据通讯，并具备在线组态功能。远程数据采集系统与DCS联接。</w:t>
      </w:r>
    </w:p>
    <w:p w14:paraId="4EB974F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机组配置智能采集前端数量满足增加壁温测点数量的使用需求，并留有15%的备用裕量。（每个智能前端不大于24点）</w:t>
      </w:r>
    </w:p>
    <w:p w14:paraId="584A046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IDAS采用国产具有同类型工程成熟应用业绩的产品，投标方提供至少三家产品（包括无锡振华</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上海耀明</w:t>
      </w:r>
      <w:r>
        <w:rPr>
          <w:rFonts w:hint="eastAsia" w:asciiTheme="minorEastAsia" w:hAnsiTheme="minorEastAsia" w:eastAsiaTheme="minorEastAsia"/>
          <w:color w:val="auto"/>
          <w:sz w:val="24"/>
          <w:szCs w:val="24"/>
          <w:highlight w:val="none"/>
          <w:lang w:eastAsia="zh-CN"/>
        </w:rPr>
        <w:t>、无锡华东、无锡兴洲、上海微程</w:t>
      </w:r>
      <w:r>
        <w:rPr>
          <w:rFonts w:hint="eastAsia" w:asciiTheme="minorEastAsia" w:hAnsiTheme="minorEastAsia" w:eastAsiaTheme="minorEastAsia"/>
          <w:color w:val="auto"/>
          <w:sz w:val="24"/>
          <w:szCs w:val="24"/>
          <w:highlight w:val="none"/>
        </w:rPr>
        <w:t>），最高价计入总价，最终由招标方确定。</w:t>
      </w:r>
    </w:p>
    <w:p w14:paraId="00A21732">
      <w:pPr>
        <w:spacing w:after="0" w:line="360" w:lineRule="auto"/>
        <w:rPr>
          <w:rFonts w:asciiTheme="minorEastAsia" w:hAnsiTheme="minorEastAsia" w:eastAsiaTheme="minorEastAsia"/>
          <w:color w:val="auto"/>
          <w:sz w:val="24"/>
          <w:szCs w:val="24"/>
          <w:highlight w:val="none"/>
        </w:rPr>
      </w:pPr>
    </w:p>
    <w:p w14:paraId="28CEAA2C">
      <w:pPr>
        <w:spacing w:after="0" w:line="360" w:lineRule="auto"/>
        <w:rPr>
          <w:rFonts w:asciiTheme="minorEastAsia" w:hAnsiTheme="minorEastAsia" w:eastAsiaTheme="minorEastAsia"/>
          <w:bCs/>
          <w:color w:val="auto"/>
          <w:sz w:val="24"/>
          <w:szCs w:val="24"/>
          <w:highlight w:val="none"/>
        </w:rPr>
      </w:pPr>
      <w:bookmarkStart w:id="89" w:name="OLE_LINK43"/>
      <w:bookmarkStart w:id="90" w:name="OLE_LINK44"/>
      <w:r>
        <w:rPr>
          <w:rFonts w:hint="eastAsia" w:asciiTheme="minorEastAsia" w:hAnsiTheme="minorEastAsia" w:eastAsiaTheme="minorEastAsia"/>
          <w:color w:val="auto"/>
          <w:sz w:val="24"/>
          <w:szCs w:val="24"/>
          <w:highlight w:val="none"/>
        </w:rPr>
        <w:t>4.4</w:t>
      </w:r>
      <w:bookmarkEnd w:id="89"/>
      <w:bookmarkEnd w:id="90"/>
      <w:r>
        <w:rPr>
          <w:rFonts w:hint="eastAsia" w:asciiTheme="minorEastAsia" w:hAnsiTheme="minorEastAsia" w:eastAsiaTheme="minorEastAsia"/>
          <w:bCs/>
          <w:color w:val="auto"/>
          <w:sz w:val="24"/>
          <w:szCs w:val="24"/>
          <w:highlight w:val="none"/>
        </w:rPr>
        <w:t>包装、保管及组装要求</w:t>
      </w:r>
    </w:p>
    <w:p w14:paraId="285EC31B">
      <w:pPr>
        <w:spacing w:after="0" w:line="360" w:lineRule="auto"/>
        <w:rPr>
          <w:rFonts w:asciiTheme="minorEastAsia" w:hAnsiTheme="minorEastAsia" w:eastAsiaTheme="minorEastAsia"/>
          <w:bCs/>
          <w:color w:val="auto"/>
          <w:sz w:val="24"/>
          <w:szCs w:val="24"/>
          <w:highlight w:val="none"/>
        </w:rPr>
      </w:pPr>
      <w:bookmarkStart w:id="91" w:name="OLE_LINK45"/>
      <w:bookmarkStart w:id="92" w:name="OLE_LINK46"/>
      <w:r>
        <w:rPr>
          <w:rFonts w:hint="eastAsia" w:asciiTheme="minorEastAsia" w:hAnsiTheme="minorEastAsia" w:eastAsiaTheme="minorEastAsia"/>
          <w:color w:val="auto"/>
          <w:sz w:val="24"/>
          <w:szCs w:val="24"/>
          <w:highlight w:val="none"/>
        </w:rPr>
        <w:t>4.4.1</w:t>
      </w:r>
      <w:r>
        <w:rPr>
          <w:rFonts w:hint="eastAsia" w:asciiTheme="minorEastAsia" w:hAnsiTheme="minorEastAsia" w:eastAsiaTheme="minorEastAsia"/>
          <w:bCs/>
          <w:color w:val="auto"/>
          <w:sz w:val="24"/>
          <w:szCs w:val="24"/>
          <w:highlight w:val="none"/>
        </w:rPr>
        <w:t xml:space="preserve"> </w:t>
      </w:r>
      <w:bookmarkEnd w:id="91"/>
      <w:bookmarkEnd w:id="92"/>
      <w:r>
        <w:rPr>
          <w:rFonts w:hint="eastAsia" w:asciiTheme="minorEastAsia" w:hAnsiTheme="minorEastAsia" w:eastAsiaTheme="minorEastAsia"/>
          <w:bCs/>
          <w:color w:val="auto"/>
          <w:sz w:val="24"/>
          <w:szCs w:val="24"/>
          <w:highlight w:val="none"/>
        </w:rPr>
        <w:t>包装与保管</w:t>
      </w:r>
    </w:p>
    <w:p w14:paraId="49E9AC9E">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在合同设备任何部分交付运输前，投标方应按照规定和本附件所述的要求，对所要交付的该部分合同设备进行包装，该包装应具有适合长途运输、多次搬运和装卸的坚固包装，以确保合同设备安全、无损地运抵现场。</w:t>
      </w:r>
    </w:p>
    <w:p w14:paraId="153CF302">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投标方应保证对合同设备的所有包装在运输、装卸过程中完好无损，并有减震、防冲击的措施。若包装无法防止运输、装卸过程中垂直、水平加速度引起的设备损坏，投标方要在设备的设计结构上予以解决。</w:t>
      </w:r>
    </w:p>
    <w:p w14:paraId="6D9C3D5F">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投标方提供的包装应能保证合同设备在现场的保管与维护，包括在合理时间内有有效的防潮措施、抗氧化的措施。对于可以进行露天堆放的合同设备，应能保证在合理时间内的露天堆放不会对合同设备造成损害。</w:t>
      </w:r>
    </w:p>
    <w:p w14:paraId="43CA361E">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如果国家有关包装的标准或规范、本附件所述的包装技术规范及合同设备承运人的包装要求之间不一致，则投标方应按照前述各项规范或要求中的最高要求对合同设备进行包装。</w:t>
      </w:r>
    </w:p>
    <w:p w14:paraId="40D72710">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人在投标时应随投标文件提交合同设备的包装技术规范及标准，包括但不限于包装示意图、包装材料材质与规格等，由招标人进行审查确认。投标文件中还应包括对合同设备包装过程中将采取的防潮、防锈、防腐蚀、抗震等措施的详细描述及承诺。</w:t>
      </w:r>
    </w:p>
    <w:p w14:paraId="4138F8E9">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电气部分和控制部分设备的包装与保管措施应满足露天堆放一个月的要求，其他设备的包装与保管措施应满足露天堆放三个月的要求。</w:t>
      </w:r>
    </w:p>
    <w:p w14:paraId="4DA9FDFC">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color w:val="auto"/>
          <w:sz w:val="24"/>
          <w:szCs w:val="24"/>
          <w:highlight w:val="none"/>
        </w:rPr>
        <w:t>4.4.2</w:t>
      </w:r>
      <w:r>
        <w:rPr>
          <w:rFonts w:hint="eastAsia" w:asciiTheme="minorEastAsia" w:hAnsiTheme="minorEastAsia" w:eastAsiaTheme="minorEastAsia"/>
          <w:bCs/>
          <w:color w:val="auto"/>
          <w:sz w:val="24"/>
          <w:szCs w:val="24"/>
          <w:highlight w:val="none"/>
        </w:rPr>
        <w:t>组装</w:t>
      </w:r>
    </w:p>
    <w:p w14:paraId="67A87BBD">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合同设备应尽量在投标方工厂完成组装，以尽可能减少现场的拼装工作量，以提高安装质量与效率。工厂拼装尺寸应以运输工具所能承担的最大尺寸为限。对于易受潮或现场拼装容易导致合同设备损伤或损害的尤其应整体交付至交货点。</w:t>
      </w:r>
    </w:p>
    <w:p w14:paraId="3449FAB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投标人在投标文件中应对合同设备的组装情况、需进行现场拼装的合同设备应作出详细说明，以便招标人进行审查。</w:t>
      </w:r>
    </w:p>
    <w:p w14:paraId="07EC7184">
      <w:pPr>
        <w:adjustRightInd/>
        <w:snapToGrid/>
        <w:spacing w:after="0"/>
        <w:rPr>
          <w:rFonts w:asciiTheme="minorEastAsia" w:hAnsiTheme="minorEastAsia" w:eastAsiaTheme="minorEastAsia"/>
          <w:color w:val="auto"/>
          <w:sz w:val="24"/>
          <w:szCs w:val="24"/>
          <w:highlight w:val="none"/>
        </w:rPr>
      </w:pPr>
    </w:p>
    <w:p w14:paraId="7BCE7538">
      <w:pPr>
        <w:pStyle w:val="54"/>
        <w:spacing w:before="0" w:after="0"/>
        <w:rPr>
          <w:rFonts w:asciiTheme="minorEastAsia" w:hAnsiTheme="minorEastAsia" w:eastAsiaTheme="minorEastAsia" w:cstheme="minorBidi"/>
          <w:bCs w:val="0"/>
          <w:color w:val="auto"/>
          <w:kern w:val="0"/>
          <w:sz w:val="24"/>
          <w:szCs w:val="24"/>
          <w:highlight w:val="none"/>
        </w:rPr>
      </w:pPr>
      <w:r>
        <w:rPr>
          <w:rFonts w:hint="eastAsia" w:asciiTheme="minorEastAsia" w:hAnsiTheme="minorEastAsia" w:eastAsiaTheme="minorEastAsia" w:cstheme="minorBidi"/>
          <w:bCs w:val="0"/>
          <w:color w:val="auto"/>
          <w:kern w:val="0"/>
          <w:sz w:val="24"/>
          <w:szCs w:val="24"/>
          <w:highlight w:val="none"/>
        </w:rPr>
        <w:t>5、供货范围和交货期</w:t>
      </w:r>
    </w:p>
    <w:p w14:paraId="678F906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一般要求</w:t>
      </w:r>
    </w:p>
    <w:p w14:paraId="111FFFC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5.1.1 本章规定了合同设备的供货范围。投标人保证提供设备为全新的、先进的、成熟的、完整的和安全可靠的，且设备的技术经济性能符合本技术协议的要求。</w:t>
      </w:r>
    </w:p>
    <w:p w14:paraId="3D1887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5.1.2 投标人提供详细供货清单，清单中依次说明型号、数量、产地、生产厂家等内容。本章所列的供货范围是投标人至少应供的，对于属于整套设备运行和施工所必需的部件，若在安装、调试、运行中发现缺项，即使本章未列出和</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或数目不足，投标人仍须在执行合同时补足，并不引起合同费用增加。</w:t>
      </w:r>
    </w:p>
    <w:p w14:paraId="7BC4930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5.1.3 除有特别注明外，所列数量均为单台机组所需。</w:t>
      </w:r>
    </w:p>
    <w:p w14:paraId="1CFCD88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5.1.4 投标人提供所有安装和检修所需专用工具和消耗材料等，提供详细供货清单。并提供安装调试用备品备件。</w:t>
      </w:r>
    </w:p>
    <w:p w14:paraId="13BEA4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5.1.5 提供所供设备中的进口件清单。</w:t>
      </w:r>
    </w:p>
    <w:p w14:paraId="4C98C28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6投标人提供的技术资料清单见第六章。</w:t>
      </w:r>
    </w:p>
    <w:p w14:paraId="20400F1F">
      <w:pPr>
        <w:tabs>
          <w:tab w:val="left" w:pos="0"/>
        </w:tabs>
        <w:spacing w:after="0"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5.2供货范围</w:t>
      </w:r>
    </w:p>
    <w:p w14:paraId="5B774CDA">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应确保供货范围完整，满足招标人对安装、调试、运行和设备性能的要求，并提供设备安装、调试、投运相关的技术服务和配合。在技术</w:t>
      </w:r>
      <w:r>
        <w:rPr>
          <w:rFonts w:hint="eastAsia" w:asciiTheme="minorEastAsia" w:hAnsiTheme="minorEastAsia" w:eastAsiaTheme="minorEastAsia"/>
          <w:color w:val="auto"/>
          <w:sz w:val="24"/>
          <w:szCs w:val="24"/>
          <w:highlight w:val="none"/>
        </w:rPr>
        <w:t>协议</w:t>
      </w:r>
      <w:r>
        <w:rPr>
          <w:rFonts w:asciiTheme="minorEastAsia" w:hAnsiTheme="minorEastAsia" w:eastAsiaTheme="minorEastAsia"/>
          <w:color w:val="auto"/>
          <w:sz w:val="24"/>
          <w:szCs w:val="24"/>
          <w:highlight w:val="none"/>
        </w:rPr>
        <w:t>中涉及的供货要求也作为本供货范围的补充，若在安装、调试、运行中发现缺项，</w:t>
      </w: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应补充供货。</w:t>
      </w:r>
    </w:p>
    <w:p w14:paraId="4019AC89">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提供的设备包括：</w:t>
      </w:r>
    </w:p>
    <w:p w14:paraId="5B19CB26">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1</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壁温设备元件及安装</w:t>
      </w:r>
      <w:r>
        <w:rPr>
          <w:rFonts w:asciiTheme="minorEastAsia" w:hAnsiTheme="minorEastAsia" w:eastAsiaTheme="minorEastAsia"/>
          <w:color w:val="auto"/>
          <w:sz w:val="24"/>
          <w:szCs w:val="24"/>
          <w:highlight w:val="none"/>
        </w:rPr>
        <w:t>附件</w:t>
      </w:r>
      <w:r>
        <w:rPr>
          <w:rFonts w:hint="eastAsia" w:asciiTheme="minorEastAsia" w:hAnsiTheme="minorEastAsia" w:eastAsiaTheme="minorEastAsia"/>
          <w:color w:val="auto"/>
          <w:sz w:val="24"/>
          <w:szCs w:val="24"/>
          <w:highlight w:val="none"/>
        </w:rPr>
        <w:t>。</w:t>
      </w:r>
    </w:p>
    <w:p w14:paraId="135C737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）智能采集前端、RS485转换器。</w:t>
      </w:r>
    </w:p>
    <w:p w14:paraId="03C4761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）接线盒、补偿导线、光纤/</w:t>
      </w:r>
      <w:r>
        <w:rPr>
          <w:rFonts w:hint="eastAsia" w:asciiTheme="minorEastAsia" w:hAnsiTheme="minorEastAsia" w:eastAsiaTheme="minorEastAsia"/>
          <w:color w:val="auto"/>
          <w:sz w:val="24"/>
          <w:szCs w:val="24"/>
          <w:highlight w:val="none"/>
          <w:lang w:eastAsia="zh-CN"/>
        </w:rPr>
        <w:t>双绞线</w:t>
      </w:r>
      <w:r>
        <w:rPr>
          <w:rFonts w:hint="eastAsia" w:asciiTheme="minorEastAsia" w:hAnsiTheme="minorEastAsia" w:eastAsiaTheme="minorEastAsia"/>
          <w:color w:val="auto"/>
          <w:sz w:val="24"/>
          <w:szCs w:val="24"/>
          <w:highlight w:val="none"/>
        </w:rPr>
        <w:t>等</w:t>
      </w:r>
    </w:p>
    <w:p w14:paraId="7A37ECB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）其他本工程所需的所有附件</w:t>
      </w:r>
    </w:p>
    <w:p w14:paraId="05C579B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5</w:t>
      </w:r>
      <w:r>
        <w:rPr>
          <w:rFonts w:hint="eastAsia" w:asciiTheme="minorEastAsia" w:hAnsiTheme="minorEastAsia" w:eastAsiaTheme="minorEastAsia"/>
          <w:color w:val="auto"/>
          <w:sz w:val="24"/>
          <w:szCs w:val="24"/>
          <w:highlight w:val="none"/>
        </w:rPr>
        <w:t>）随机备件等</w:t>
      </w:r>
    </w:p>
    <w:p w14:paraId="522BBDDD">
      <w:pPr>
        <w:spacing w:after="0" w:line="360" w:lineRule="auto"/>
        <w:rPr>
          <w:rFonts w:asciiTheme="minorEastAsia" w:hAnsiTheme="minorEastAsia" w:eastAsiaTheme="minorEastAsia"/>
          <w:color w:val="auto"/>
          <w:sz w:val="24"/>
          <w:szCs w:val="24"/>
          <w:highlight w:val="none"/>
        </w:rPr>
      </w:pPr>
    </w:p>
    <w:p w14:paraId="75C6E8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2.1供货设备表（单台</w:t>
      </w:r>
      <w:r>
        <w:rPr>
          <w:rFonts w:hint="eastAsia" w:asciiTheme="minorEastAsia" w:hAnsiTheme="minorEastAsia" w:eastAsiaTheme="minorEastAsia"/>
          <w:color w:val="auto"/>
          <w:sz w:val="24"/>
          <w:szCs w:val="24"/>
          <w:highlight w:val="none"/>
        </w:rPr>
        <w:t>机组</w:t>
      </w:r>
      <w:r>
        <w:rPr>
          <w:rFonts w:asciiTheme="minorEastAsia" w:hAnsiTheme="minorEastAsia" w:eastAsiaTheme="minorEastAsia"/>
          <w:color w:val="auto"/>
          <w:sz w:val="24"/>
          <w:szCs w:val="24"/>
          <w:highlight w:val="none"/>
        </w:rPr>
        <w:t>）</w:t>
      </w:r>
    </w:p>
    <w:tbl>
      <w:tblPr>
        <w:tblStyle w:val="58"/>
        <w:tblW w:w="9185"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8" w:type="dxa"/>
          <w:bottom w:w="0" w:type="dxa"/>
          <w:right w:w="28" w:type="dxa"/>
        </w:tblCellMar>
      </w:tblPr>
      <w:tblGrid>
        <w:gridCol w:w="533"/>
        <w:gridCol w:w="3446"/>
        <w:gridCol w:w="2087"/>
        <w:gridCol w:w="751"/>
        <w:gridCol w:w="667"/>
        <w:gridCol w:w="795"/>
        <w:gridCol w:w="906"/>
      </w:tblGrid>
      <w:tr w14:paraId="4496259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273EE45A">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序号</w:t>
            </w:r>
          </w:p>
        </w:tc>
        <w:tc>
          <w:tcPr>
            <w:tcW w:w="3446" w:type="dxa"/>
            <w:vAlign w:val="center"/>
          </w:tcPr>
          <w:p w14:paraId="1428DD39">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名称</w:t>
            </w:r>
          </w:p>
        </w:tc>
        <w:tc>
          <w:tcPr>
            <w:tcW w:w="2087" w:type="dxa"/>
            <w:vAlign w:val="center"/>
          </w:tcPr>
          <w:p w14:paraId="74DEFD1B">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规格和型号</w:t>
            </w:r>
          </w:p>
        </w:tc>
        <w:tc>
          <w:tcPr>
            <w:tcW w:w="751" w:type="dxa"/>
            <w:vAlign w:val="center"/>
          </w:tcPr>
          <w:p w14:paraId="10455862">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单位</w:t>
            </w:r>
          </w:p>
        </w:tc>
        <w:tc>
          <w:tcPr>
            <w:tcW w:w="667" w:type="dxa"/>
            <w:vAlign w:val="center"/>
          </w:tcPr>
          <w:p w14:paraId="2F74B6C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数量</w:t>
            </w:r>
          </w:p>
        </w:tc>
        <w:tc>
          <w:tcPr>
            <w:tcW w:w="795" w:type="dxa"/>
            <w:vAlign w:val="center"/>
          </w:tcPr>
          <w:p w14:paraId="2C62FE8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生产厂家</w:t>
            </w:r>
          </w:p>
        </w:tc>
        <w:tc>
          <w:tcPr>
            <w:tcW w:w="906" w:type="dxa"/>
            <w:vAlign w:val="center"/>
          </w:tcPr>
          <w:p w14:paraId="48D2EAB1">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备注</w:t>
            </w:r>
          </w:p>
        </w:tc>
      </w:tr>
      <w:tr w14:paraId="126EFE7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AAC3E8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3446" w:type="dxa"/>
            <w:vAlign w:val="center"/>
          </w:tcPr>
          <w:p w14:paraId="24D74C08">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末过、末再、水冷壁、屏过壁温热电偶元件</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壁温</w:t>
            </w:r>
            <w:r>
              <w:rPr>
                <w:rFonts w:hint="eastAsia" w:asciiTheme="minorEastAsia" w:hAnsiTheme="minorEastAsia" w:eastAsiaTheme="minorEastAsia"/>
                <w:color w:val="auto"/>
                <w:sz w:val="24"/>
                <w:szCs w:val="24"/>
                <w:highlight w:val="none"/>
                <w:lang w:val="en-US" w:eastAsia="zh-CN"/>
              </w:rPr>
              <w:t>安装块</w:t>
            </w:r>
          </w:p>
        </w:tc>
        <w:tc>
          <w:tcPr>
            <w:tcW w:w="2087" w:type="dxa"/>
            <w:vAlign w:val="center"/>
          </w:tcPr>
          <w:p w14:paraId="3F27676D">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 xml:space="preserve">型号：WRKT2-11B分度：K 精度：1级 直径： 5mm  保护铠材质: </w:t>
            </w:r>
            <w:r>
              <w:rPr>
                <w:rFonts w:hint="eastAsia" w:asciiTheme="minorEastAsia" w:hAnsiTheme="minorEastAsia" w:eastAsiaTheme="minorEastAsia"/>
                <w:color w:val="auto"/>
                <w:sz w:val="24"/>
                <w:highlight w:val="none"/>
              </w:rPr>
              <w:t>316L</w:t>
            </w:r>
          </w:p>
        </w:tc>
        <w:tc>
          <w:tcPr>
            <w:tcW w:w="751" w:type="dxa"/>
            <w:vAlign w:val="center"/>
          </w:tcPr>
          <w:p w14:paraId="324A5A4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72ED26B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c>
          <w:tcPr>
            <w:tcW w:w="795" w:type="dxa"/>
            <w:vAlign w:val="center"/>
          </w:tcPr>
          <w:p w14:paraId="20D29A95">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906" w:type="dxa"/>
            <w:vAlign w:val="center"/>
          </w:tcPr>
          <w:p w14:paraId="61B30A49">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提供具体长度及数量，测温范围0-800℃</w:t>
            </w:r>
          </w:p>
        </w:tc>
      </w:tr>
      <w:tr w14:paraId="20AC637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57914A05">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w:t>
            </w:r>
          </w:p>
        </w:tc>
        <w:tc>
          <w:tcPr>
            <w:tcW w:w="3446" w:type="dxa"/>
          </w:tcPr>
          <w:p w14:paraId="6D3E9694">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智能I/O采集前端</w:t>
            </w:r>
          </w:p>
        </w:tc>
        <w:tc>
          <w:tcPr>
            <w:tcW w:w="2087" w:type="dxa"/>
            <w:vAlign w:val="center"/>
          </w:tcPr>
          <w:p w14:paraId="7FA7FF0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每个智能前端不大于</w:t>
            </w:r>
            <w:r>
              <w:rPr>
                <w:rFonts w:cs="Times New Roman" w:asciiTheme="minorEastAsia" w:hAnsiTheme="minorEastAsia" w:eastAsiaTheme="minorEastAsia"/>
                <w:color w:val="auto"/>
                <w:sz w:val="24"/>
                <w:szCs w:val="24"/>
                <w:highlight w:val="none"/>
              </w:rPr>
              <w:t>24点</w:t>
            </w:r>
          </w:p>
        </w:tc>
        <w:tc>
          <w:tcPr>
            <w:tcW w:w="751" w:type="dxa"/>
            <w:vAlign w:val="center"/>
          </w:tcPr>
          <w:p w14:paraId="6841C7A8">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7FBEDAA2">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w:t>
            </w:r>
          </w:p>
        </w:tc>
        <w:tc>
          <w:tcPr>
            <w:tcW w:w="795" w:type="dxa"/>
            <w:vAlign w:val="center"/>
          </w:tcPr>
          <w:p w14:paraId="3C51AD3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E7237E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满足增加壁温测点的使用需求</w:t>
            </w:r>
          </w:p>
        </w:tc>
      </w:tr>
      <w:tr w14:paraId="20B1010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72FDFE8D">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w:t>
            </w:r>
          </w:p>
        </w:tc>
        <w:tc>
          <w:tcPr>
            <w:tcW w:w="3446" w:type="dxa"/>
          </w:tcPr>
          <w:p w14:paraId="384BF1FD">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bookmarkStart w:id="93" w:name="OLE_LINK2"/>
            <w:r>
              <w:rPr>
                <w:rFonts w:hint="eastAsia" w:asciiTheme="minorEastAsia" w:hAnsiTheme="minorEastAsia" w:eastAsiaTheme="minorEastAsia"/>
                <w:color w:val="auto"/>
                <w:szCs w:val="24"/>
                <w:highlight w:val="none"/>
              </w:rPr>
              <w:t>补偿导线</w:t>
            </w:r>
            <w:bookmarkEnd w:id="93"/>
          </w:p>
        </w:tc>
        <w:tc>
          <w:tcPr>
            <w:tcW w:w="2087" w:type="dxa"/>
            <w:shd w:val="clear" w:color="auto" w:fill="auto"/>
            <w:vAlign w:val="center"/>
          </w:tcPr>
          <w:p w14:paraId="295AB03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auto"/>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ZR-KX-HS(200)-FP2F-2X1.5</w:t>
            </w:r>
          </w:p>
        </w:tc>
        <w:tc>
          <w:tcPr>
            <w:tcW w:w="751" w:type="dxa"/>
            <w:vAlign w:val="center"/>
          </w:tcPr>
          <w:p w14:paraId="4B9DB2F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米</w:t>
            </w:r>
          </w:p>
        </w:tc>
        <w:tc>
          <w:tcPr>
            <w:tcW w:w="667" w:type="dxa"/>
            <w:vAlign w:val="center"/>
          </w:tcPr>
          <w:p w14:paraId="62EB54D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6EF3F27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438531D">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0013300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720769C">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w:t>
            </w:r>
          </w:p>
        </w:tc>
        <w:tc>
          <w:tcPr>
            <w:tcW w:w="3446" w:type="dxa"/>
          </w:tcPr>
          <w:p w14:paraId="54A183F4">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接线盒</w:t>
            </w:r>
          </w:p>
        </w:tc>
        <w:tc>
          <w:tcPr>
            <w:tcW w:w="2087" w:type="dxa"/>
            <w:vAlign w:val="center"/>
          </w:tcPr>
          <w:p w14:paraId="3AB7283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6625CDFD">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个</w:t>
            </w:r>
          </w:p>
        </w:tc>
        <w:tc>
          <w:tcPr>
            <w:tcW w:w="667" w:type="dxa"/>
            <w:vAlign w:val="center"/>
          </w:tcPr>
          <w:p w14:paraId="0061E0F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strike/>
                <w:color w:val="auto"/>
                <w:sz w:val="24"/>
                <w:szCs w:val="24"/>
                <w:highlight w:val="none"/>
              </w:rPr>
            </w:pPr>
          </w:p>
        </w:tc>
        <w:tc>
          <w:tcPr>
            <w:tcW w:w="795" w:type="dxa"/>
            <w:vAlign w:val="center"/>
          </w:tcPr>
          <w:p w14:paraId="0A8EAD3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strike/>
                <w:color w:val="auto"/>
                <w:sz w:val="24"/>
                <w:szCs w:val="24"/>
                <w:highlight w:val="none"/>
              </w:rPr>
            </w:pPr>
          </w:p>
        </w:tc>
        <w:tc>
          <w:tcPr>
            <w:tcW w:w="906" w:type="dxa"/>
            <w:vAlign w:val="center"/>
          </w:tcPr>
          <w:p w14:paraId="38C2980E">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152426D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06EB47D">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w:t>
            </w:r>
          </w:p>
        </w:tc>
        <w:tc>
          <w:tcPr>
            <w:tcW w:w="3446" w:type="dxa"/>
          </w:tcPr>
          <w:p w14:paraId="5D82F990">
            <w:pPr>
              <w:pStyle w:val="25"/>
              <w:keepNext w:val="0"/>
              <w:keepLines w:val="0"/>
              <w:pageBreakBefore w:val="0"/>
              <w:widowControl/>
              <w:kinsoku/>
              <w:wordWrap/>
              <w:overflowPunct/>
              <w:topLinePunct w:val="0"/>
              <w:autoSpaceDE/>
              <w:autoSpaceDN/>
              <w:bidi w:val="0"/>
              <w:adjustRightInd w:val="0"/>
              <w:snapToGrid w:val="0"/>
              <w:spacing w:line="240" w:lineRule="auto"/>
              <w:rPr>
                <w:rFonts w:hint="eastAsia" w:asciiTheme="minorEastAsia" w:hAnsiTheme="minorEastAsia" w:eastAsiaTheme="minorEastAsia"/>
                <w:color w:val="auto"/>
                <w:szCs w:val="24"/>
                <w:highlight w:val="none"/>
                <w:lang w:eastAsia="zh-CN"/>
              </w:rPr>
            </w:pPr>
            <w:r>
              <w:rPr>
                <w:rFonts w:hint="eastAsia" w:asciiTheme="minorEastAsia" w:hAnsiTheme="minorEastAsia" w:eastAsiaTheme="minorEastAsia"/>
                <w:color w:val="auto"/>
                <w:szCs w:val="24"/>
                <w:highlight w:val="none"/>
              </w:rPr>
              <w:t>光纤/</w:t>
            </w:r>
            <w:r>
              <w:rPr>
                <w:rFonts w:hint="eastAsia" w:asciiTheme="minorEastAsia" w:hAnsiTheme="minorEastAsia" w:eastAsiaTheme="minorEastAsia"/>
                <w:color w:val="auto"/>
                <w:szCs w:val="24"/>
                <w:highlight w:val="none"/>
                <w:lang w:eastAsia="zh-CN"/>
              </w:rPr>
              <w:t>双绞线</w:t>
            </w:r>
          </w:p>
        </w:tc>
        <w:tc>
          <w:tcPr>
            <w:tcW w:w="2087" w:type="dxa"/>
            <w:vAlign w:val="center"/>
          </w:tcPr>
          <w:p w14:paraId="5D86A986">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787786A4">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米</w:t>
            </w:r>
          </w:p>
        </w:tc>
        <w:tc>
          <w:tcPr>
            <w:tcW w:w="667" w:type="dxa"/>
            <w:vAlign w:val="center"/>
          </w:tcPr>
          <w:p w14:paraId="0EA4FAB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2AED3C7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F7F421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299AAEE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2172C54C">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6</w:t>
            </w:r>
          </w:p>
        </w:tc>
        <w:tc>
          <w:tcPr>
            <w:tcW w:w="3446" w:type="dxa"/>
          </w:tcPr>
          <w:p w14:paraId="0E43DF85">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RS485转换器</w:t>
            </w:r>
          </w:p>
        </w:tc>
        <w:tc>
          <w:tcPr>
            <w:tcW w:w="2087" w:type="dxa"/>
            <w:vAlign w:val="center"/>
          </w:tcPr>
          <w:p w14:paraId="55361E2C">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1D17949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336D3C9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7374900E">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BEC934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bookmarkStart w:id="94" w:name="OLE_LINK13"/>
            <w:bookmarkStart w:id="95" w:name="OLE_LINK14"/>
            <w:r>
              <w:rPr>
                <w:rFonts w:hint="eastAsia" w:cs="Times New Roman" w:asciiTheme="minorEastAsia" w:hAnsiTheme="minorEastAsia" w:eastAsiaTheme="minorEastAsia"/>
                <w:color w:val="auto"/>
                <w:sz w:val="24"/>
                <w:szCs w:val="24"/>
                <w:highlight w:val="none"/>
              </w:rPr>
              <w:t>满足现场使用需求</w:t>
            </w:r>
            <w:bookmarkEnd w:id="94"/>
            <w:bookmarkEnd w:id="95"/>
          </w:p>
        </w:tc>
      </w:tr>
      <w:tr w14:paraId="2CAFE74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8980540">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7</w:t>
            </w:r>
          </w:p>
        </w:tc>
        <w:tc>
          <w:tcPr>
            <w:tcW w:w="3446" w:type="dxa"/>
          </w:tcPr>
          <w:p w14:paraId="6B67129A">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软件编制</w:t>
            </w:r>
          </w:p>
        </w:tc>
        <w:tc>
          <w:tcPr>
            <w:tcW w:w="2087" w:type="dxa"/>
            <w:vAlign w:val="center"/>
          </w:tcPr>
          <w:p w14:paraId="6D94340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16811E7D">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25DD29D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795" w:type="dxa"/>
            <w:vAlign w:val="center"/>
          </w:tcPr>
          <w:p w14:paraId="59ED7C4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3A220FB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56A817D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D752985">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8</w:t>
            </w:r>
          </w:p>
        </w:tc>
        <w:tc>
          <w:tcPr>
            <w:tcW w:w="3446" w:type="dxa"/>
          </w:tcPr>
          <w:p w14:paraId="46740AFB">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DCS组态</w:t>
            </w:r>
          </w:p>
        </w:tc>
        <w:tc>
          <w:tcPr>
            <w:tcW w:w="2087" w:type="dxa"/>
            <w:vAlign w:val="center"/>
          </w:tcPr>
          <w:p w14:paraId="348DB7CF">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52AA0569">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56FC3DD7">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795" w:type="dxa"/>
            <w:vAlign w:val="center"/>
          </w:tcPr>
          <w:p w14:paraId="73F12ECF">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55F1B56C">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1FA9CE3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4B60B2E">
            <w:pPr>
              <w:pStyle w:val="25"/>
              <w:keepNext w:val="0"/>
              <w:keepLines w:val="0"/>
              <w:pageBreakBefore w:val="0"/>
              <w:widowControl/>
              <w:kinsoku/>
              <w:wordWrap/>
              <w:overflowPunct/>
              <w:topLinePunct w:val="0"/>
              <w:autoSpaceDE/>
              <w:autoSpaceDN/>
              <w:bidi w:val="0"/>
              <w:adjustRightInd w:val="0"/>
              <w:snapToGrid w:val="0"/>
              <w:spacing w:line="240" w:lineRule="auto"/>
              <w:ind w:firstLine="120" w:firstLineChars="50"/>
              <w:jc w:val="cente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9</w:t>
            </w:r>
          </w:p>
        </w:tc>
        <w:tc>
          <w:tcPr>
            <w:tcW w:w="3446" w:type="dxa"/>
            <w:vAlign w:val="center"/>
          </w:tcPr>
          <w:p w14:paraId="755F54A8">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DCS通讯卡</w:t>
            </w:r>
            <w:r>
              <w:rPr>
                <w:rFonts w:hint="eastAsia" w:asciiTheme="minorEastAsia" w:hAnsiTheme="minorEastAsia" w:eastAsiaTheme="minorEastAsia"/>
                <w:color w:val="auto"/>
                <w:sz w:val="24"/>
                <w:szCs w:val="24"/>
                <w:highlight w:val="none"/>
                <w:lang w:val="en-US" w:eastAsia="zh-CN"/>
              </w:rPr>
              <w:t>带底座</w:t>
            </w:r>
          </w:p>
        </w:tc>
        <w:tc>
          <w:tcPr>
            <w:tcW w:w="2087" w:type="dxa"/>
            <w:vAlign w:val="center"/>
          </w:tcPr>
          <w:p w14:paraId="6F405328">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354351E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6177E1F7">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4</w:t>
            </w:r>
          </w:p>
        </w:tc>
        <w:tc>
          <w:tcPr>
            <w:tcW w:w="795" w:type="dxa"/>
            <w:vAlign w:val="center"/>
          </w:tcPr>
          <w:p w14:paraId="58355D4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CA1F8EB">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测点显示迟滞时间小于2s</w:t>
            </w:r>
          </w:p>
        </w:tc>
      </w:tr>
      <w:tr w14:paraId="1D0AAC0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tcPr>
          <w:p w14:paraId="79D98E25">
            <w:pPr>
              <w:pStyle w:val="25"/>
              <w:keepNext w:val="0"/>
              <w:keepLines w:val="0"/>
              <w:pageBreakBefore w:val="0"/>
              <w:widowControl/>
              <w:kinsoku/>
              <w:wordWrap/>
              <w:overflowPunct/>
              <w:topLinePunct w:val="0"/>
              <w:autoSpaceDE/>
              <w:autoSpaceDN/>
              <w:bidi w:val="0"/>
              <w:adjustRightInd w:val="0"/>
              <w:snapToGrid w:val="0"/>
              <w:spacing w:line="240" w:lineRule="auto"/>
              <w:rPr>
                <w:rFonts w:hint="default" w:asciiTheme="minorEastAsia" w:hAnsiTheme="minorEastAsia" w:eastAsiaTheme="minorEastAsia"/>
                <w:color w:val="auto"/>
                <w:szCs w:val="24"/>
                <w:highlight w:val="none"/>
                <w:lang w:val="en-US" w:eastAsia="zh-CN"/>
              </w:rPr>
            </w:pPr>
            <w:r>
              <w:rPr>
                <w:rFonts w:hint="eastAsia" w:asciiTheme="minorEastAsia" w:hAnsiTheme="minorEastAsia" w:eastAsiaTheme="minorEastAsia"/>
                <w:color w:val="auto"/>
                <w:szCs w:val="24"/>
                <w:highlight w:val="none"/>
                <w:lang w:val="en-US" w:eastAsia="zh-CN"/>
              </w:rPr>
              <w:t>10</w:t>
            </w:r>
          </w:p>
        </w:tc>
        <w:tc>
          <w:tcPr>
            <w:tcW w:w="3446" w:type="dxa"/>
            <w:vAlign w:val="center"/>
          </w:tcPr>
          <w:p w14:paraId="4DCEB180">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Cs w:val="24"/>
                <w:highlight w:val="none"/>
              </w:rPr>
              <w:t>智能I/O采集前端</w:t>
            </w:r>
            <w:r>
              <w:rPr>
                <w:rFonts w:hint="eastAsia" w:asciiTheme="minorEastAsia" w:hAnsiTheme="minorEastAsia" w:eastAsiaTheme="minorEastAsia"/>
                <w:color w:val="auto"/>
                <w:szCs w:val="24"/>
                <w:highlight w:val="none"/>
                <w:lang w:val="en-US" w:eastAsia="zh-CN"/>
              </w:rPr>
              <w:t>电源分配箱及电源</w:t>
            </w:r>
          </w:p>
        </w:tc>
        <w:tc>
          <w:tcPr>
            <w:tcW w:w="2087" w:type="dxa"/>
            <w:vAlign w:val="center"/>
          </w:tcPr>
          <w:p w14:paraId="54808DC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333A941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套</w:t>
            </w:r>
          </w:p>
        </w:tc>
        <w:tc>
          <w:tcPr>
            <w:tcW w:w="667" w:type="dxa"/>
            <w:vAlign w:val="center"/>
          </w:tcPr>
          <w:p w14:paraId="78F91480">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2</w:t>
            </w:r>
          </w:p>
        </w:tc>
        <w:tc>
          <w:tcPr>
            <w:tcW w:w="795" w:type="dxa"/>
            <w:vAlign w:val="center"/>
          </w:tcPr>
          <w:p w14:paraId="01EA5BC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0D050F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5B79E0B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71C45DA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3446" w:type="dxa"/>
            <w:vAlign w:val="center"/>
          </w:tcPr>
          <w:p w14:paraId="33A2EB0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2087" w:type="dxa"/>
            <w:vAlign w:val="center"/>
          </w:tcPr>
          <w:p w14:paraId="4B0BC19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440436B1">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667" w:type="dxa"/>
            <w:vAlign w:val="center"/>
          </w:tcPr>
          <w:p w14:paraId="61F8CA3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95" w:type="dxa"/>
            <w:vAlign w:val="center"/>
          </w:tcPr>
          <w:p w14:paraId="30528A48">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A2403B6">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41F570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72AC7E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3446" w:type="dxa"/>
            <w:vAlign w:val="center"/>
          </w:tcPr>
          <w:p w14:paraId="6CD864F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2087" w:type="dxa"/>
            <w:vAlign w:val="center"/>
          </w:tcPr>
          <w:p w14:paraId="63B2105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5FA1D97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667" w:type="dxa"/>
            <w:vAlign w:val="center"/>
          </w:tcPr>
          <w:p w14:paraId="7D7BDF3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95" w:type="dxa"/>
            <w:vAlign w:val="center"/>
          </w:tcPr>
          <w:p w14:paraId="328F865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62C8CE4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bl>
    <w:p w14:paraId="0076B5A0">
      <w:pPr>
        <w:pStyle w:val="54"/>
        <w:spacing w:before="0" w:after="0"/>
        <w:rPr>
          <w:rFonts w:asciiTheme="minorEastAsia" w:hAnsiTheme="minorEastAsia" w:eastAsiaTheme="minorEastAsia" w:cstheme="minorBidi"/>
          <w:b w:val="0"/>
          <w:bCs w:val="0"/>
          <w:strike/>
          <w:color w:val="auto"/>
          <w:kern w:val="0"/>
          <w:sz w:val="24"/>
          <w:szCs w:val="24"/>
          <w:highlight w:val="none"/>
        </w:rPr>
      </w:pPr>
    </w:p>
    <w:p w14:paraId="6F5A63F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5.2.2进口件清单（单台机组）</w:t>
      </w:r>
    </w:p>
    <w:tbl>
      <w:tblPr>
        <w:tblStyle w:val="58"/>
        <w:tblW w:w="8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598"/>
        <w:gridCol w:w="1373"/>
        <w:gridCol w:w="704"/>
        <w:gridCol w:w="793"/>
        <w:gridCol w:w="1145"/>
        <w:gridCol w:w="757"/>
      </w:tblGrid>
      <w:tr w14:paraId="129C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56" w:type="dxa"/>
            <w:vAlign w:val="center"/>
          </w:tcPr>
          <w:p w14:paraId="0540598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598" w:type="dxa"/>
            <w:vAlign w:val="center"/>
          </w:tcPr>
          <w:p w14:paraId="39DAB3D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名称</w:t>
            </w:r>
          </w:p>
        </w:tc>
        <w:tc>
          <w:tcPr>
            <w:tcW w:w="1373" w:type="dxa"/>
            <w:vAlign w:val="center"/>
          </w:tcPr>
          <w:p w14:paraId="7CA14AA1">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规格型号</w:t>
            </w:r>
          </w:p>
        </w:tc>
        <w:tc>
          <w:tcPr>
            <w:tcW w:w="704" w:type="dxa"/>
            <w:vAlign w:val="center"/>
          </w:tcPr>
          <w:p w14:paraId="7977CFF4">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单位</w:t>
            </w:r>
          </w:p>
        </w:tc>
        <w:tc>
          <w:tcPr>
            <w:tcW w:w="793" w:type="dxa"/>
            <w:vAlign w:val="center"/>
          </w:tcPr>
          <w:p w14:paraId="642386A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145" w:type="dxa"/>
            <w:vAlign w:val="center"/>
          </w:tcPr>
          <w:p w14:paraId="48030153">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生产厂家</w:t>
            </w:r>
          </w:p>
        </w:tc>
        <w:tc>
          <w:tcPr>
            <w:tcW w:w="757" w:type="dxa"/>
            <w:vAlign w:val="center"/>
          </w:tcPr>
          <w:p w14:paraId="04679B8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5ACD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5D43411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598" w:type="dxa"/>
            <w:vAlign w:val="center"/>
          </w:tcPr>
          <w:p w14:paraId="5A460728">
            <w:pPr>
              <w:spacing w:after="0" w:line="360" w:lineRule="auto"/>
              <w:jc w:val="center"/>
              <w:rPr>
                <w:rFonts w:asciiTheme="minorEastAsia" w:hAnsiTheme="minorEastAsia" w:eastAsiaTheme="minorEastAsia"/>
                <w:color w:val="auto"/>
                <w:sz w:val="24"/>
                <w:szCs w:val="24"/>
                <w:highlight w:val="none"/>
              </w:rPr>
            </w:pPr>
          </w:p>
        </w:tc>
        <w:tc>
          <w:tcPr>
            <w:tcW w:w="1373" w:type="dxa"/>
            <w:vAlign w:val="center"/>
          </w:tcPr>
          <w:p w14:paraId="6D39108A">
            <w:pPr>
              <w:spacing w:after="0" w:line="360" w:lineRule="auto"/>
              <w:rPr>
                <w:rFonts w:asciiTheme="minorEastAsia" w:hAnsiTheme="minorEastAsia" w:eastAsiaTheme="minorEastAsia"/>
                <w:color w:val="auto"/>
                <w:sz w:val="24"/>
                <w:szCs w:val="24"/>
                <w:highlight w:val="none"/>
              </w:rPr>
            </w:pPr>
          </w:p>
        </w:tc>
        <w:tc>
          <w:tcPr>
            <w:tcW w:w="704" w:type="dxa"/>
            <w:vAlign w:val="center"/>
          </w:tcPr>
          <w:p w14:paraId="6AD798B9">
            <w:pPr>
              <w:spacing w:after="0" w:line="360" w:lineRule="auto"/>
              <w:jc w:val="center"/>
              <w:rPr>
                <w:rFonts w:asciiTheme="minorEastAsia" w:hAnsiTheme="minorEastAsia" w:eastAsiaTheme="minorEastAsia"/>
                <w:color w:val="auto"/>
                <w:sz w:val="24"/>
                <w:szCs w:val="24"/>
                <w:highlight w:val="none"/>
              </w:rPr>
            </w:pPr>
          </w:p>
        </w:tc>
        <w:tc>
          <w:tcPr>
            <w:tcW w:w="793" w:type="dxa"/>
            <w:vAlign w:val="center"/>
          </w:tcPr>
          <w:p w14:paraId="596D0E45">
            <w:pPr>
              <w:spacing w:after="0" w:line="360" w:lineRule="auto"/>
              <w:rPr>
                <w:rFonts w:asciiTheme="minorEastAsia" w:hAnsiTheme="minorEastAsia" w:eastAsiaTheme="minorEastAsia"/>
                <w:color w:val="auto"/>
                <w:sz w:val="24"/>
                <w:szCs w:val="24"/>
                <w:highlight w:val="none"/>
              </w:rPr>
            </w:pPr>
          </w:p>
        </w:tc>
        <w:tc>
          <w:tcPr>
            <w:tcW w:w="1145" w:type="dxa"/>
            <w:vAlign w:val="center"/>
          </w:tcPr>
          <w:p w14:paraId="63A0ABF7">
            <w:pPr>
              <w:spacing w:after="0" w:line="360" w:lineRule="auto"/>
              <w:rPr>
                <w:rFonts w:asciiTheme="minorEastAsia" w:hAnsiTheme="minorEastAsia" w:eastAsiaTheme="minorEastAsia"/>
                <w:color w:val="auto"/>
                <w:sz w:val="24"/>
                <w:szCs w:val="24"/>
                <w:highlight w:val="none"/>
              </w:rPr>
            </w:pPr>
          </w:p>
        </w:tc>
        <w:tc>
          <w:tcPr>
            <w:tcW w:w="757" w:type="dxa"/>
            <w:vAlign w:val="center"/>
          </w:tcPr>
          <w:p w14:paraId="16BB8A24">
            <w:pPr>
              <w:spacing w:after="0" w:line="360" w:lineRule="auto"/>
              <w:jc w:val="center"/>
              <w:rPr>
                <w:rFonts w:asciiTheme="minorEastAsia" w:hAnsiTheme="minorEastAsia" w:eastAsiaTheme="minorEastAsia"/>
                <w:color w:val="auto"/>
                <w:sz w:val="24"/>
                <w:szCs w:val="24"/>
                <w:highlight w:val="none"/>
              </w:rPr>
            </w:pPr>
          </w:p>
        </w:tc>
      </w:tr>
      <w:tr w14:paraId="1989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335B8A3E">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2598" w:type="dxa"/>
            <w:vAlign w:val="center"/>
          </w:tcPr>
          <w:p w14:paraId="39AC98AA">
            <w:pPr>
              <w:spacing w:after="0" w:line="360" w:lineRule="auto"/>
              <w:jc w:val="center"/>
              <w:rPr>
                <w:rFonts w:asciiTheme="minorEastAsia" w:hAnsiTheme="minorEastAsia" w:eastAsiaTheme="minorEastAsia"/>
                <w:color w:val="auto"/>
                <w:sz w:val="24"/>
                <w:szCs w:val="24"/>
                <w:highlight w:val="none"/>
              </w:rPr>
            </w:pPr>
          </w:p>
        </w:tc>
        <w:tc>
          <w:tcPr>
            <w:tcW w:w="1373" w:type="dxa"/>
            <w:vAlign w:val="center"/>
          </w:tcPr>
          <w:p w14:paraId="3A867CB0">
            <w:pPr>
              <w:spacing w:after="0" w:line="360" w:lineRule="auto"/>
              <w:rPr>
                <w:rFonts w:asciiTheme="minorEastAsia" w:hAnsiTheme="minorEastAsia" w:eastAsiaTheme="minorEastAsia"/>
                <w:color w:val="auto"/>
                <w:sz w:val="24"/>
                <w:szCs w:val="24"/>
                <w:highlight w:val="none"/>
              </w:rPr>
            </w:pPr>
          </w:p>
        </w:tc>
        <w:tc>
          <w:tcPr>
            <w:tcW w:w="704" w:type="dxa"/>
            <w:vAlign w:val="center"/>
          </w:tcPr>
          <w:p w14:paraId="4EF3770C">
            <w:pPr>
              <w:spacing w:after="0" w:line="360" w:lineRule="auto"/>
              <w:jc w:val="center"/>
              <w:rPr>
                <w:rFonts w:asciiTheme="minorEastAsia" w:hAnsiTheme="minorEastAsia" w:eastAsiaTheme="minorEastAsia"/>
                <w:color w:val="auto"/>
                <w:sz w:val="24"/>
                <w:szCs w:val="24"/>
                <w:highlight w:val="none"/>
              </w:rPr>
            </w:pPr>
          </w:p>
        </w:tc>
        <w:tc>
          <w:tcPr>
            <w:tcW w:w="793" w:type="dxa"/>
            <w:vAlign w:val="center"/>
          </w:tcPr>
          <w:p w14:paraId="3EBB8358">
            <w:pPr>
              <w:spacing w:after="0" w:line="360" w:lineRule="auto"/>
              <w:rPr>
                <w:rFonts w:asciiTheme="minorEastAsia" w:hAnsiTheme="minorEastAsia" w:eastAsiaTheme="minorEastAsia"/>
                <w:color w:val="auto"/>
                <w:sz w:val="24"/>
                <w:szCs w:val="24"/>
                <w:highlight w:val="none"/>
              </w:rPr>
            </w:pPr>
          </w:p>
        </w:tc>
        <w:tc>
          <w:tcPr>
            <w:tcW w:w="1145" w:type="dxa"/>
            <w:vAlign w:val="center"/>
          </w:tcPr>
          <w:p w14:paraId="2AF6A053">
            <w:pPr>
              <w:spacing w:after="0" w:line="360" w:lineRule="auto"/>
              <w:rPr>
                <w:rFonts w:asciiTheme="minorEastAsia" w:hAnsiTheme="minorEastAsia" w:eastAsiaTheme="minorEastAsia"/>
                <w:color w:val="auto"/>
                <w:sz w:val="24"/>
                <w:szCs w:val="24"/>
                <w:highlight w:val="none"/>
              </w:rPr>
            </w:pPr>
          </w:p>
        </w:tc>
        <w:tc>
          <w:tcPr>
            <w:tcW w:w="757" w:type="dxa"/>
            <w:vAlign w:val="center"/>
          </w:tcPr>
          <w:p w14:paraId="15C1D20A">
            <w:pPr>
              <w:spacing w:after="0" w:line="360" w:lineRule="auto"/>
              <w:jc w:val="center"/>
              <w:rPr>
                <w:rFonts w:asciiTheme="minorEastAsia" w:hAnsiTheme="minorEastAsia" w:eastAsiaTheme="minorEastAsia"/>
                <w:color w:val="auto"/>
                <w:sz w:val="24"/>
                <w:szCs w:val="24"/>
                <w:highlight w:val="none"/>
              </w:rPr>
            </w:pPr>
          </w:p>
        </w:tc>
      </w:tr>
    </w:tbl>
    <w:p w14:paraId="3B3DC7C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5.2.3分包与外购（单台机组）</w:t>
      </w:r>
    </w:p>
    <w:tbl>
      <w:tblPr>
        <w:tblStyle w:val="58"/>
        <w:tblW w:w="77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25"/>
        <w:gridCol w:w="1429"/>
        <w:gridCol w:w="1212"/>
        <w:gridCol w:w="884"/>
        <w:gridCol w:w="1055"/>
        <w:gridCol w:w="1138"/>
        <w:gridCol w:w="1326"/>
      </w:tblGrid>
      <w:tr w14:paraId="4B8BC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127C200C">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1429" w:type="dxa"/>
            <w:vAlign w:val="center"/>
          </w:tcPr>
          <w:p w14:paraId="67CBBDF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设备名称</w:t>
            </w:r>
          </w:p>
        </w:tc>
        <w:tc>
          <w:tcPr>
            <w:tcW w:w="1212" w:type="dxa"/>
            <w:vAlign w:val="center"/>
          </w:tcPr>
          <w:p w14:paraId="603F00F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84" w:type="dxa"/>
            <w:vAlign w:val="center"/>
          </w:tcPr>
          <w:p w14:paraId="0E5306A5">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055" w:type="dxa"/>
            <w:vAlign w:val="center"/>
          </w:tcPr>
          <w:p w14:paraId="3F05AD1E">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分包商名称</w:t>
            </w:r>
          </w:p>
        </w:tc>
        <w:tc>
          <w:tcPr>
            <w:tcW w:w="1138" w:type="dxa"/>
            <w:vAlign w:val="center"/>
          </w:tcPr>
          <w:p w14:paraId="4264E4B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设备产地</w:t>
            </w:r>
          </w:p>
        </w:tc>
        <w:tc>
          <w:tcPr>
            <w:tcW w:w="1326" w:type="dxa"/>
            <w:vAlign w:val="center"/>
          </w:tcPr>
          <w:p w14:paraId="40FA527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3F6D7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18335BD8">
            <w:pPr>
              <w:spacing w:after="0" w:line="36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1429" w:type="dxa"/>
            <w:vAlign w:val="center"/>
          </w:tcPr>
          <w:p w14:paraId="2C7AD79F">
            <w:pPr>
              <w:spacing w:after="0" w:line="360" w:lineRule="auto"/>
              <w:jc w:val="center"/>
              <w:rPr>
                <w:rFonts w:asciiTheme="minorEastAsia" w:hAnsiTheme="minorEastAsia" w:eastAsiaTheme="minorEastAsia"/>
                <w:color w:val="auto"/>
                <w:sz w:val="24"/>
                <w:szCs w:val="24"/>
                <w:highlight w:val="none"/>
              </w:rPr>
            </w:pPr>
          </w:p>
        </w:tc>
        <w:tc>
          <w:tcPr>
            <w:tcW w:w="1212" w:type="dxa"/>
            <w:vAlign w:val="center"/>
          </w:tcPr>
          <w:p w14:paraId="5EDAF7CD">
            <w:pPr>
              <w:spacing w:after="0" w:line="360" w:lineRule="auto"/>
              <w:rPr>
                <w:rFonts w:asciiTheme="minorEastAsia" w:hAnsiTheme="minorEastAsia" w:eastAsiaTheme="minorEastAsia"/>
                <w:color w:val="auto"/>
                <w:sz w:val="24"/>
                <w:szCs w:val="24"/>
                <w:highlight w:val="none"/>
              </w:rPr>
            </w:pPr>
          </w:p>
        </w:tc>
        <w:tc>
          <w:tcPr>
            <w:tcW w:w="884" w:type="dxa"/>
            <w:vAlign w:val="center"/>
          </w:tcPr>
          <w:p w14:paraId="1EB9DFC8">
            <w:pPr>
              <w:spacing w:after="0" w:line="360" w:lineRule="auto"/>
              <w:rPr>
                <w:rFonts w:asciiTheme="minorEastAsia" w:hAnsiTheme="minorEastAsia" w:eastAsiaTheme="minorEastAsia"/>
                <w:color w:val="auto"/>
                <w:sz w:val="24"/>
                <w:szCs w:val="24"/>
                <w:highlight w:val="none"/>
              </w:rPr>
            </w:pPr>
          </w:p>
        </w:tc>
        <w:tc>
          <w:tcPr>
            <w:tcW w:w="1055" w:type="dxa"/>
            <w:vAlign w:val="center"/>
          </w:tcPr>
          <w:p w14:paraId="02D58881">
            <w:pPr>
              <w:spacing w:after="0" w:line="360" w:lineRule="auto"/>
              <w:rPr>
                <w:rFonts w:asciiTheme="minorEastAsia" w:hAnsiTheme="minorEastAsia" w:eastAsiaTheme="minorEastAsia"/>
                <w:color w:val="auto"/>
                <w:sz w:val="24"/>
                <w:szCs w:val="24"/>
                <w:highlight w:val="none"/>
              </w:rPr>
            </w:pPr>
          </w:p>
        </w:tc>
        <w:tc>
          <w:tcPr>
            <w:tcW w:w="1138" w:type="dxa"/>
            <w:vAlign w:val="center"/>
          </w:tcPr>
          <w:p w14:paraId="7B23C9D1">
            <w:pPr>
              <w:spacing w:after="0" w:line="360" w:lineRule="auto"/>
              <w:rPr>
                <w:rFonts w:asciiTheme="minorEastAsia" w:hAnsiTheme="minorEastAsia" w:eastAsiaTheme="minorEastAsia"/>
                <w:color w:val="auto"/>
                <w:sz w:val="24"/>
                <w:szCs w:val="24"/>
                <w:highlight w:val="none"/>
              </w:rPr>
            </w:pPr>
          </w:p>
        </w:tc>
        <w:tc>
          <w:tcPr>
            <w:tcW w:w="1326" w:type="dxa"/>
            <w:vAlign w:val="center"/>
          </w:tcPr>
          <w:p w14:paraId="54F2445D">
            <w:pPr>
              <w:spacing w:after="0" w:line="360" w:lineRule="auto"/>
              <w:jc w:val="center"/>
              <w:rPr>
                <w:rFonts w:asciiTheme="minorEastAsia" w:hAnsiTheme="minorEastAsia" w:eastAsiaTheme="minorEastAsia"/>
                <w:color w:val="auto"/>
                <w:sz w:val="24"/>
                <w:szCs w:val="24"/>
                <w:highlight w:val="none"/>
              </w:rPr>
            </w:pPr>
          </w:p>
        </w:tc>
      </w:tr>
      <w:tr w14:paraId="22F8E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63" w:hRule="atLeast"/>
          <w:jc w:val="center"/>
        </w:trPr>
        <w:tc>
          <w:tcPr>
            <w:tcW w:w="725" w:type="dxa"/>
            <w:vAlign w:val="center"/>
          </w:tcPr>
          <w:p w14:paraId="3CFA712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1429" w:type="dxa"/>
            <w:vAlign w:val="center"/>
          </w:tcPr>
          <w:p w14:paraId="37DBAE8A">
            <w:pPr>
              <w:spacing w:after="0" w:line="360" w:lineRule="auto"/>
              <w:jc w:val="center"/>
              <w:rPr>
                <w:rFonts w:asciiTheme="minorEastAsia" w:hAnsiTheme="minorEastAsia" w:eastAsiaTheme="minorEastAsia"/>
                <w:color w:val="auto"/>
                <w:sz w:val="24"/>
                <w:szCs w:val="24"/>
                <w:highlight w:val="none"/>
              </w:rPr>
            </w:pPr>
          </w:p>
        </w:tc>
        <w:tc>
          <w:tcPr>
            <w:tcW w:w="1212" w:type="dxa"/>
            <w:vAlign w:val="center"/>
          </w:tcPr>
          <w:p w14:paraId="4C68754D">
            <w:pPr>
              <w:spacing w:after="0" w:line="360" w:lineRule="auto"/>
              <w:rPr>
                <w:rFonts w:asciiTheme="minorEastAsia" w:hAnsiTheme="minorEastAsia" w:eastAsiaTheme="minorEastAsia"/>
                <w:color w:val="auto"/>
                <w:sz w:val="24"/>
                <w:szCs w:val="24"/>
                <w:highlight w:val="none"/>
              </w:rPr>
            </w:pPr>
          </w:p>
        </w:tc>
        <w:tc>
          <w:tcPr>
            <w:tcW w:w="884" w:type="dxa"/>
            <w:vAlign w:val="center"/>
          </w:tcPr>
          <w:p w14:paraId="1D24E00D">
            <w:pPr>
              <w:spacing w:after="0" w:line="360" w:lineRule="auto"/>
              <w:rPr>
                <w:rFonts w:asciiTheme="minorEastAsia" w:hAnsiTheme="minorEastAsia" w:eastAsiaTheme="minorEastAsia"/>
                <w:color w:val="auto"/>
                <w:sz w:val="24"/>
                <w:szCs w:val="24"/>
                <w:highlight w:val="none"/>
              </w:rPr>
            </w:pPr>
          </w:p>
        </w:tc>
        <w:tc>
          <w:tcPr>
            <w:tcW w:w="1055" w:type="dxa"/>
            <w:vAlign w:val="center"/>
          </w:tcPr>
          <w:p w14:paraId="76E79972">
            <w:pPr>
              <w:spacing w:after="0" w:line="360" w:lineRule="auto"/>
              <w:rPr>
                <w:rFonts w:asciiTheme="minorEastAsia" w:hAnsiTheme="minorEastAsia" w:eastAsiaTheme="minorEastAsia"/>
                <w:color w:val="auto"/>
                <w:sz w:val="24"/>
                <w:szCs w:val="24"/>
                <w:highlight w:val="none"/>
              </w:rPr>
            </w:pPr>
          </w:p>
        </w:tc>
        <w:tc>
          <w:tcPr>
            <w:tcW w:w="1138" w:type="dxa"/>
            <w:vAlign w:val="center"/>
          </w:tcPr>
          <w:p w14:paraId="148994D6">
            <w:pPr>
              <w:spacing w:after="0" w:line="360" w:lineRule="auto"/>
              <w:rPr>
                <w:rFonts w:asciiTheme="minorEastAsia" w:hAnsiTheme="minorEastAsia" w:eastAsiaTheme="minorEastAsia"/>
                <w:color w:val="auto"/>
                <w:sz w:val="24"/>
                <w:szCs w:val="24"/>
                <w:highlight w:val="none"/>
              </w:rPr>
            </w:pPr>
          </w:p>
        </w:tc>
        <w:tc>
          <w:tcPr>
            <w:tcW w:w="1326" w:type="dxa"/>
            <w:vAlign w:val="center"/>
          </w:tcPr>
          <w:p w14:paraId="08551A86">
            <w:pPr>
              <w:spacing w:after="0" w:line="360" w:lineRule="auto"/>
              <w:jc w:val="center"/>
              <w:rPr>
                <w:rFonts w:asciiTheme="minorEastAsia" w:hAnsiTheme="minorEastAsia" w:eastAsiaTheme="minorEastAsia"/>
                <w:color w:val="auto"/>
                <w:sz w:val="24"/>
                <w:szCs w:val="24"/>
                <w:highlight w:val="none"/>
              </w:rPr>
            </w:pPr>
          </w:p>
        </w:tc>
      </w:tr>
    </w:tbl>
    <w:p w14:paraId="5FBC17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5.2.4 专用工具 </w:t>
      </w:r>
    </w:p>
    <w:tbl>
      <w:tblPr>
        <w:tblStyle w:val="58"/>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453"/>
        <w:gridCol w:w="1420"/>
        <w:gridCol w:w="823"/>
        <w:gridCol w:w="1835"/>
        <w:gridCol w:w="1080"/>
      </w:tblGrid>
      <w:tr w14:paraId="714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tcPr>
          <w:p w14:paraId="447B545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453" w:type="dxa"/>
            <w:tcBorders>
              <w:top w:val="single" w:color="auto" w:sz="4" w:space="0"/>
              <w:left w:val="single" w:color="auto" w:sz="4" w:space="0"/>
              <w:bottom w:val="single" w:color="auto" w:sz="4" w:space="0"/>
              <w:right w:val="single" w:color="auto" w:sz="4" w:space="0"/>
            </w:tcBorders>
            <w:vAlign w:val="center"/>
          </w:tcPr>
          <w:p w14:paraId="2B310A9C">
            <w:pPr>
              <w:spacing w:line="4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专用工具名称</w:t>
            </w:r>
          </w:p>
        </w:tc>
        <w:tc>
          <w:tcPr>
            <w:tcW w:w="1420" w:type="dxa"/>
            <w:tcBorders>
              <w:top w:val="single" w:color="auto" w:sz="4" w:space="0"/>
              <w:left w:val="single" w:color="auto" w:sz="4" w:space="0"/>
              <w:bottom w:val="single" w:color="auto" w:sz="4" w:space="0"/>
              <w:right w:val="single" w:color="auto" w:sz="4" w:space="0"/>
            </w:tcBorders>
            <w:vAlign w:val="center"/>
          </w:tcPr>
          <w:p w14:paraId="5B2FCDE3">
            <w:pPr>
              <w:spacing w:line="480" w:lineRule="exact"/>
              <w:ind w:firstLine="8"/>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23" w:type="dxa"/>
            <w:tcBorders>
              <w:top w:val="single" w:color="auto" w:sz="4" w:space="0"/>
              <w:left w:val="single" w:color="auto" w:sz="4" w:space="0"/>
              <w:bottom w:val="single" w:color="auto" w:sz="4" w:space="0"/>
              <w:right w:val="single" w:color="auto" w:sz="4" w:space="0"/>
            </w:tcBorders>
            <w:vAlign w:val="center"/>
          </w:tcPr>
          <w:p w14:paraId="2E4ED51A">
            <w:pPr>
              <w:spacing w:line="480" w:lineRule="exact"/>
              <w:ind w:firstLine="6"/>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835" w:type="dxa"/>
            <w:tcBorders>
              <w:top w:val="single" w:color="auto" w:sz="4" w:space="0"/>
              <w:left w:val="single" w:color="auto" w:sz="4" w:space="0"/>
              <w:bottom w:val="single" w:color="auto" w:sz="4" w:space="0"/>
              <w:right w:val="single" w:color="auto" w:sz="4" w:space="0"/>
            </w:tcBorders>
          </w:tcPr>
          <w:p w14:paraId="1226D850">
            <w:pPr>
              <w:spacing w:line="480" w:lineRule="exact"/>
              <w:ind w:firstLine="3"/>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产地/制造厂名</w:t>
            </w:r>
          </w:p>
        </w:tc>
        <w:tc>
          <w:tcPr>
            <w:tcW w:w="1080" w:type="dxa"/>
            <w:tcBorders>
              <w:top w:val="single" w:color="auto" w:sz="4" w:space="0"/>
              <w:left w:val="single" w:color="auto" w:sz="4" w:space="0"/>
              <w:bottom w:val="single" w:color="auto" w:sz="4" w:space="0"/>
              <w:right w:val="single" w:color="auto" w:sz="4" w:space="0"/>
            </w:tcBorders>
            <w:vAlign w:val="center"/>
          </w:tcPr>
          <w:p w14:paraId="44D5AF89">
            <w:pPr>
              <w:spacing w:line="480" w:lineRule="exact"/>
              <w:ind w:hanging="3"/>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1507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vAlign w:val="center"/>
          </w:tcPr>
          <w:p w14:paraId="4BAC52A5">
            <w:pPr>
              <w:spacing w:line="4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453" w:type="dxa"/>
            <w:tcBorders>
              <w:top w:val="single" w:color="auto" w:sz="4" w:space="0"/>
              <w:left w:val="single" w:color="auto" w:sz="4" w:space="0"/>
              <w:bottom w:val="single" w:color="auto" w:sz="4" w:space="0"/>
              <w:right w:val="single" w:color="auto" w:sz="4" w:space="0"/>
            </w:tcBorders>
          </w:tcPr>
          <w:p w14:paraId="285DCC05">
            <w:pPr>
              <w:spacing w:line="480" w:lineRule="exact"/>
              <w:rPr>
                <w:rFonts w:asciiTheme="minorEastAsia" w:hAnsiTheme="minorEastAsia" w:eastAsiaTheme="minorEastAsia"/>
                <w:color w:val="auto"/>
                <w:sz w:val="24"/>
                <w:szCs w:val="24"/>
                <w:highlight w:val="none"/>
              </w:rPr>
            </w:pPr>
          </w:p>
        </w:tc>
        <w:tc>
          <w:tcPr>
            <w:tcW w:w="1420" w:type="dxa"/>
            <w:tcBorders>
              <w:top w:val="single" w:color="auto" w:sz="4" w:space="0"/>
              <w:left w:val="single" w:color="auto" w:sz="4" w:space="0"/>
              <w:bottom w:val="single" w:color="auto" w:sz="4" w:space="0"/>
              <w:right w:val="single" w:color="auto" w:sz="4" w:space="0"/>
            </w:tcBorders>
          </w:tcPr>
          <w:p w14:paraId="198AD8B1">
            <w:pPr>
              <w:spacing w:line="480" w:lineRule="exact"/>
              <w:rPr>
                <w:rFonts w:asciiTheme="minorEastAsia" w:hAnsiTheme="minorEastAsia" w:eastAsiaTheme="minorEastAsia"/>
                <w:color w:val="auto"/>
                <w:sz w:val="24"/>
                <w:szCs w:val="24"/>
                <w:highlight w:val="none"/>
              </w:rPr>
            </w:pPr>
          </w:p>
        </w:tc>
        <w:tc>
          <w:tcPr>
            <w:tcW w:w="823" w:type="dxa"/>
            <w:tcBorders>
              <w:top w:val="single" w:color="auto" w:sz="4" w:space="0"/>
              <w:left w:val="single" w:color="auto" w:sz="4" w:space="0"/>
              <w:bottom w:val="single" w:color="auto" w:sz="4" w:space="0"/>
              <w:right w:val="single" w:color="auto" w:sz="4" w:space="0"/>
            </w:tcBorders>
          </w:tcPr>
          <w:p w14:paraId="4650830E">
            <w:pPr>
              <w:spacing w:line="480" w:lineRule="exact"/>
              <w:rPr>
                <w:rFonts w:asciiTheme="minorEastAsia" w:hAnsiTheme="minorEastAsia" w:eastAsiaTheme="minorEastAsia"/>
                <w:color w:val="auto"/>
                <w:sz w:val="24"/>
                <w:szCs w:val="24"/>
                <w:highlight w:val="none"/>
              </w:rPr>
            </w:pPr>
          </w:p>
        </w:tc>
        <w:tc>
          <w:tcPr>
            <w:tcW w:w="1835" w:type="dxa"/>
            <w:tcBorders>
              <w:top w:val="single" w:color="auto" w:sz="4" w:space="0"/>
              <w:left w:val="single" w:color="auto" w:sz="4" w:space="0"/>
              <w:bottom w:val="single" w:color="auto" w:sz="4" w:space="0"/>
              <w:right w:val="single" w:color="auto" w:sz="4" w:space="0"/>
            </w:tcBorders>
          </w:tcPr>
          <w:p w14:paraId="18D3600A">
            <w:pPr>
              <w:pStyle w:val="141"/>
              <w:spacing w:line="480" w:lineRule="exact"/>
              <w:jc w:val="both"/>
              <w:rPr>
                <w:rFonts w:asciiTheme="minorEastAsia" w:hAnsiTheme="minorEastAsia" w:eastAsiaTheme="minorEastAsia" w:cstheme="minorBidi"/>
                <w:color w:val="auto"/>
                <w:szCs w:val="24"/>
                <w:highlight w:val="none"/>
              </w:rPr>
            </w:pPr>
          </w:p>
        </w:tc>
        <w:tc>
          <w:tcPr>
            <w:tcW w:w="1080" w:type="dxa"/>
            <w:tcBorders>
              <w:top w:val="single" w:color="auto" w:sz="4" w:space="0"/>
              <w:left w:val="single" w:color="auto" w:sz="4" w:space="0"/>
              <w:bottom w:val="single" w:color="auto" w:sz="4" w:space="0"/>
              <w:right w:val="single" w:color="auto" w:sz="4" w:space="0"/>
            </w:tcBorders>
          </w:tcPr>
          <w:p w14:paraId="4F0E15A6">
            <w:pPr>
              <w:pStyle w:val="141"/>
              <w:spacing w:line="480" w:lineRule="exact"/>
              <w:ind w:firstLine="482"/>
              <w:rPr>
                <w:rFonts w:asciiTheme="minorEastAsia" w:hAnsiTheme="minorEastAsia" w:eastAsiaTheme="minorEastAsia" w:cstheme="minorBidi"/>
                <w:color w:val="auto"/>
                <w:szCs w:val="24"/>
                <w:highlight w:val="none"/>
              </w:rPr>
            </w:pPr>
          </w:p>
        </w:tc>
      </w:tr>
    </w:tbl>
    <w:p w14:paraId="4FC64A2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5.2.5 随机备品备件</w:t>
      </w:r>
    </w:p>
    <w:tbl>
      <w:tblPr>
        <w:tblStyle w:val="5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32"/>
        <w:gridCol w:w="1417"/>
        <w:gridCol w:w="851"/>
        <w:gridCol w:w="2076"/>
        <w:gridCol w:w="1011"/>
      </w:tblGrid>
      <w:tr w14:paraId="06BA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1F9486EE">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032" w:type="dxa"/>
            <w:tcBorders>
              <w:top w:val="single" w:color="auto" w:sz="4" w:space="0"/>
              <w:left w:val="single" w:color="auto" w:sz="4" w:space="0"/>
              <w:bottom w:val="single" w:color="auto" w:sz="4" w:space="0"/>
              <w:right w:val="single" w:color="auto" w:sz="4" w:space="0"/>
            </w:tcBorders>
            <w:vAlign w:val="center"/>
          </w:tcPr>
          <w:p w14:paraId="7B65075D">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备品、备件名称</w:t>
            </w:r>
          </w:p>
        </w:tc>
        <w:tc>
          <w:tcPr>
            <w:tcW w:w="1417" w:type="dxa"/>
            <w:tcBorders>
              <w:top w:val="single" w:color="auto" w:sz="4" w:space="0"/>
              <w:left w:val="single" w:color="auto" w:sz="4" w:space="0"/>
              <w:bottom w:val="single" w:color="auto" w:sz="4" w:space="0"/>
              <w:right w:val="single" w:color="auto" w:sz="4" w:space="0"/>
            </w:tcBorders>
            <w:vAlign w:val="center"/>
          </w:tcPr>
          <w:p w14:paraId="653B4820">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51" w:type="dxa"/>
            <w:tcBorders>
              <w:top w:val="single" w:color="auto" w:sz="4" w:space="0"/>
              <w:left w:val="single" w:color="auto" w:sz="4" w:space="0"/>
              <w:bottom w:val="single" w:color="auto" w:sz="4" w:space="0"/>
              <w:right w:val="single" w:color="auto" w:sz="4" w:space="0"/>
            </w:tcBorders>
            <w:vAlign w:val="center"/>
          </w:tcPr>
          <w:p w14:paraId="040EC58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2076" w:type="dxa"/>
            <w:tcBorders>
              <w:top w:val="single" w:color="auto" w:sz="4" w:space="0"/>
              <w:left w:val="single" w:color="auto" w:sz="4" w:space="0"/>
              <w:bottom w:val="single" w:color="auto" w:sz="4" w:space="0"/>
              <w:right w:val="single" w:color="auto" w:sz="4" w:space="0"/>
            </w:tcBorders>
          </w:tcPr>
          <w:p w14:paraId="5916928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产地/制造厂名</w:t>
            </w:r>
          </w:p>
        </w:tc>
        <w:tc>
          <w:tcPr>
            <w:tcW w:w="1011" w:type="dxa"/>
            <w:tcBorders>
              <w:top w:val="single" w:color="auto" w:sz="4" w:space="0"/>
              <w:left w:val="single" w:color="auto" w:sz="4" w:space="0"/>
              <w:bottom w:val="single" w:color="auto" w:sz="4" w:space="0"/>
              <w:right w:val="single" w:color="auto" w:sz="4" w:space="0"/>
            </w:tcBorders>
            <w:vAlign w:val="center"/>
          </w:tcPr>
          <w:p w14:paraId="6941BD75">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0488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09FA12A5">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032" w:type="dxa"/>
            <w:tcBorders>
              <w:top w:val="single" w:color="auto" w:sz="4" w:space="0"/>
              <w:left w:val="single" w:color="auto" w:sz="4" w:space="0"/>
              <w:bottom w:val="single" w:color="auto" w:sz="4" w:space="0"/>
              <w:right w:val="single" w:color="auto" w:sz="4" w:space="0"/>
            </w:tcBorders>
            <w:vAlign w:val="center"/>
          </w:tcPr>
          <w:p w14:paraId="4CB6570B">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Cs w:val="24"/>
                <w:highlight w:val="none"/>
              </w:rPr>
              <w:t>智能I/O采集前端</w:t>
            </w:r>
          </w:p>
        </w:tc>
        <w:tc>
          <w:tcPr>
            <w:tcW w:w="1417" w:type="dxa"/>
            <w:tcBorders>
              <w:top w:val="single" w:color="auto" w:sz="4" w:space="0"/>
              <w:left w:val="single" w:color="auto" w:sz="4" w:space="0"/>
              <w:bottom w:val="single" w:color="auto" w:sz="4" w:space="0"/>
              <w:right w:val="single" w:color="auto" w:sz="4" w:space="0"/>
            </w:tcBorders>
            <w:vAlign w:val="center"/>
          </w:tcPr>
          <w:p w14:paraId="4BCC60E4">
            <w:pPr>
              <w:spacing w:line="480" w:lineRule="exact"/>
              <w:ind w:firstLine="29"/>
              <w:rPr>
                <w:rFonts w:asciiTheme="minorEastAsia" w:hAnsiTheme="minorEastAsia" w:eastAsiaTheme="minorEastAsia"/>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0C3C4B05">
            <w:pPr>
              <w:spacing w:line="480" w:lineRule="exact"/>
              <w:ind w:firstLine="29"/>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w:t>
            </w:r>
          </w:p>
        </w:tc>
        <w:tc>
          <w:tcPr>
            <w:tcW w:w="2076" w:type="dxa"/>
            <w:tcBorders>
              <w:top w:val="single" w:color="auto" w:sz="4" w:space="0"/>
              <w:left w:val="single" w:color="auto" w:sz="4" w:space="0"/>
              <w:bottom w:val="single" w:color="auto" w:sz="4" w:space="0"/>
              <w:right w:val="single" w:color="auto" w:sz="4" w:space="0"/>
            </w:tcBorders>
            <w:vAlign w:val="center"/>
          </w:tcPr>
          <w:p w14:paraId="72B6001F">
            <w:pPr>
              <w:spacing w:line="480" w:lineRule="exact"/>
              <w:ind w:firstLine="29"/>
              <w:rPr>
                <w:rFonts w:asciiTheme="minorEastAsia" w:hAnsiTheme="minorEastAsia" w:eastAsiaTheme="minorEastAsia"/>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4F865321">
            <w:pPr>
              <w:spacing w:line="480" w:lineRule="exact"/>
              <w:ind w:firstLine="29"/>
              <w:rPr>
                <w:rFonts w:asciiTheme="minorEastAsia" w:hAnsiTheme="minorEastAsia" w:eastAsiaTheme="minorEastAsia"/>
                <w:color w:val="auto"/>
                <w:sz w:val="24"/>
                <w:szCs w:val="24"/>
                <w:highlight w:val="none"/>
              </w:rPr>
            </w:pPr>
          </w:p>
        </w:tc>
      </w:tr>
      <w:tr w14:paraId="79E8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5324DD1D">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2032" w:type="dxa"/>
            <w:tcBorders>
              <w:top w:val="single" w:color="auto" w:sz="4" w:space="0"/>
              <w:left w:val="single" w:color="auto" w:sz="4" w:space="0"/>
              <w:bottom w:val="single" w:color="auto" w:sz="4" w:space="0"/>
              <w:right w:val="single" w:color="auto" w:sz="4" w:space="0"/>
            </w:tcBorders>
            <w:vAlign w:val="center"/>
          </w:tcPr>
          <w:p w14:paraId="4C7B1905">
            <w:pPr>
              <w:spacing w:line="480" w:lineRule="exact"/>
              <w:ind w:firstLine="29"/>
              <w:rPr>
                <w:rFonts w:asciiTheme="minorEastAsia" w:hAnsiTheme="minorEastAsia" w:eastAsiaTheme="minorEastAsia"/>
                <w:color w:val="auto"/>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A17FD8C">
            <w:pPr>
              <w:spacing w:line="480" w:lineRule="exact"/>
              <w:ind w:firstLine="29"/>
              <w:rPr>
                <w:rFonts w:asciiTheme="minorEastAsia" w:hAnsiTheme="minorEastAsia" w:eastAsiaTheme="minorEastAsia"/>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192FFF3B">
            <w:pPr>
              <w:spacing w:line="480" w:lineRule="exact"/>
              <w:ind w:firstLine="29"/>
              <w:rPr>
                <w:rFonts w:asciiTheme="minorEastAsia" w:hAnsiTheme="minorEastAsia" w:eastAsiaTheme="minorEastAsia"/>
                <w:color w:val="auto"/>
                <w:sz w:val="24"/>
                <w:szCs w:val="24"/>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651BE4B">
            <w:pPr>
              <w:spacing w:line="480" w:lineRule="exact"/>
              <w:ind w:firstLine="29"/>
              <w:rPr>
                <w:rFonts w:asciiTheme="minorEastAsia" w:hAnsiTheme="minorEastAsia" w:eastAsiaTheme="minorEastAsia"/>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3601BA12">
            <w:pPr>
              <w:spacing w:line="480" w:lineRule="exact"/>
              <w:ind w:firstLine="29"/>
              <w:rPr>
                <w:rFonts w:asciiTheme="minorEastAsia" w:hAnsiTheme="minorEastAsia" w:eastAsiaTheme="minorEastAsia"/>
                <w:color w:val="auto"/>
                <w:sz w:val="24"/>
                <w:szCs w:val="24"/>
                <w:highlight w:val="none"/>
              </w:rPr>
            </w:pPr>
          </w:p>
        </w:tc>
      </w:tr>
    </w:tbl>
    <w:p w14:paraId="5E4DE9B4">
      <w:pPr>
        <w:spacing w:after="0" w:line="360" w:lineRule="auto"/>
        <w:rPr>
          <w:rFonts w:asciiTheme="minorEastAsia" w:hAnsiTheme="minorEastAsia" w:eastAsiaTheme="minorEastAsia"/>
          <w:color w:val="auto"/>
          <w:sz w:val="24"/>
          <w:szCs w:val="24"/>
          <w:highlight w:val="none"/>
        </w:rPr>
      </w:pPr>
    </w:p>
    <w:p w14:paraId="2918B35C">
      <w:pPr>
        <w:spacing w:after="0" w:line="360" w:lineRule="auto"/>
        <w:rPr>
          <w:rFonts w:asciiTheme="minorEastAsia" w:hAnsiTheme="minorEastAsia" w:eastAsiaTheme="minorEastAsia"/>
          <w:color w:val="auto"/>
          <w:sz w:val="24"/>
          <w:szCs w:val="24"/>
          <w:highlight w:val="none"/>
        </w:rPr>
      </w:pPr>
    </w:p>
    <w:p w14:paraId="5478C5D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5.3设备交货进度</w:t>
      </w:r>
    </w:p>
    <w:p w14:paraId="574A4F4B">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设备的交货顺序要满足工程安装进度的要求。交货进度暂定 </w:t>
      </w:r>
      <w:bookmarkStart w:id="96" w:name="OLE_LINK36"/>
      <w:bookmarkStart w:id="97" w:name="OLE_LINK37"/>
      <w:r>
        <w:rPr>
          <w:rFonts w:hint="eastAsia" w:asciiTheme="minorEastAsia" w:hAnsiTheme="minorEastAsia" w:eastAsiaTheme="minorEastAsia"/>
          <w:color w:val="auto"/>
          <w:sz w:val="24"/>
          <w:szCs w:val="24"/>
          <w:highlight w:val="none"/>
        </w:rPr>
        <w:t>XXXX年XXXX月</w:t>
      </w:r>
      <w:bookmarkEnd w:id="96"/>
      <w:bookmarkEnd w:id="97"/>
      <w:r>
        <w:rPr>
          <w:rFonts w:hint="eastAsia" w:asciiTheme="minorEastAsia" w:hAnsiTheme="minorEastAsia" w:eastAsiaTheme="minorEastAsia"/>
          <w:color w:val="auto"/>
          <w:sz w:val="24"/>
          <w:szCs w:val="24"/>
          <w:highlight w:val="none"/>
        </w:rPr>
        <w:t>，整体施工改造完成时间为XX日历天。具体时间以招标人正式通知为准。</w:t>
      </w:r>
    </w:p>
    <w:p w14:paraId="26E09E59">
      <w:pPr>
        <w:spacing w:after="0" w:line="360" w:lineRule="auto"/>
        <w:ind w:firstLine="480" w:firstLineChars="200"/>
        <w:jc w:val="center"/>
        <w:rPr>
          <w:rFonts w:asciiTheme="minorEastAsia" w:hAnsiTheme="minorEastAsia" w:eastAsiaTheme="minorEastAsia"/>
          <w:color w:val="auto"/>
          <w:sz w:val="24"/>
          <w:szCs w:val="24"/>
          <w:highlight w:val="none"/>
        </w:rPr>
      </w:pPr>
      <w:bookmarkStart w:id="98" w:name="_Toc6307901"/>
      <w:r>
        <w:rPr>
          <w:rFonts w:hint="eastAsia" w:asciiTheme="minorEastAsia" w:hAnsiTheme="minorEastAsia" w:eastAsiaTheme="minorEastAsia"/>
          <w:color w:val="auto"/>
          <w:sz w:val="24"/>
          <w:szCs w:val="24"/>
          <w:highlight w:val="none"/>
        </w:rPr>
        <w:t>设备和材料交货进度</w:t>
      </w:r>
      <w:bookmarkEnd w:id="98"/>
    </w:p>
    <w:tbl>
      <w:tblPr>
        <w:tblStyle w:val="58"/>
        <w:tblW w:w="95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8"/>
        <w:gridCol w:w="4036"/>
        <w:gridCol w:w="2976"/>
        <w:gridCol w:w="1543"/>
      </w:tblGrid>
      <w:tr w14:paraId="1FC93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68936579">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4036" w:type="dxa"/>
            <w:vAlign w:val="center"/>
          </w:tcPr>
          <w:p w14:paraId="0C93490A">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设备名称</w:t>
            </w:r>
          </w:p>
        </w:tc>
        <w:tc>
          <w:tcPr>
            <w:tcW w:w="2976" w:type="dxa"/>
            <w:vAlign w:val="center"/>
          </w:tcPr>
          <w:p w14:paraId="0F5E807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投标人建议的到货时间</w:t>
            </w:r>
          </w:p>
        </w:tc>
        <w:tc>
          <w:tcPr>
            <w:tcW w:w="1543" w:type="dxa"/>
            <w:vAlign w:val="center"/>
          </w:tcPr>
          <w:p w14:paraId="3BFEB323">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64B5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025F0B0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4036" w:type="dxa"/>
          </w:tcPr>
          <w:p w14:paraId="276CF23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壁温升级改造设备</w:t>
            </w:r>
            <w:r>
              <w:rPr>
                <w:rFonts w:hint="eastAsia" w:ascii="宋体" w:hAnsi="宋体" w:eastAsia="宋体" w:cs="宋体"/>
                <w:color w:val="auto"/>
                <w:sz w:val="24"/>
                <w:szCs w:val="24"/>
                <w:highlight w:val="none"/>
              </w:rPr>
              <w:t>及安装附件</w:t>
            </w:r>
          </w:p>
        </w:tc>
        <w:tc>
          <w:tcPr>
            <w:tcW w:w="2976" w:type="dxa"/>
          </w:tcPr>
          <w:p w14:paraId="7A17C2AA">
            <w:pPr>
              <w:pStyle w:val="141"/>
              <w:adjustRightInd/>
              <w:spacing w:line="360" w:lineRule="auto"/>
              <w:jc w:val="left"/>
              <w:rPr>
                <w:rFonts w:asciiTheme="minorEastAsia" w:hAnsiTheme="minorEastAsia" w:eastAsiaTheme="minorEastAsia" w:cstheme="minorBidi"/>
                <w:color w:val="auto"/>
                <w:szCs w:val="24"/>
                <w:highlight w:val="none"/>
              </w:rPr>
            </w:pPr>
          </w:p>
        </w:tc>
        <w:tc>
          <w:tcPr>
            <w:tcW w:w="1543" w:type="dxa"/>
            <w:vAlign w:val="center"/>
          </w:tcPr>
          <w:p w14:paraId="05EB22F7">
            <w:pPr>
              <w:spacing w:after="0" w:line="360" w:lineRule="auto"/>
              <w:jc w:val="center"/>
              <w:rPr>
                <w:rFonts w:asciiTheme="minorEastAsia" w:hAnsiTheme="minorEastAsia" w:eastAsiaTheme="minorEastAsia"/>
                <w:color w:val="auto"/>
                <w:sz w:val="24"/>
                <w:szCs w:val="24"/>
                <w:highlight w:val="none"/>
              </w:rPr>
            </w:pPr>
          </w:p>
        </w:tc>
      </w:tr>
      <w:tr w14:paraId="78721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28A5386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4036" w:type="dxa"/>
            <w:vAlign w:val="center"/>
          </w:tcPr>
          <w:p w14:paraId="3CD67C59">
            <w:pPr>
              <w:spacing w:after="0" w:line="360" w:lineRule="auto"/>
              <w:rPr>
                <w:rFonts w:asciiTheme="minorEastAsia" w:hAnsiTheme="minorEastAsia" w:eastAsiaTheme="minorEastAsia"/>
                <w:strike/>
                <w:color w:val="auto"/>
                <w:sz w:val="24"/>
                <w:szCs w:val="24"/>
                <w:highlight w:val="none"/>
              </w:rPr>
            </w:pPr>
            <w:r>
              <w:rPr>
                <w:rFonts w:hint="eastAsia" w:asciiTheme="minorEastAsia" w:hAnsiTheme="minorEastAsia" w:eastAsiaTheme="minorEastAsia"/>
                <w:color w:val="auto"/>
                <w:sz w:val="24"/>
                <w:szCs w:val="24"/>
                <w:highlight w:val="none"/>
              </w:rPr>
              <w:t>施工人员进驻现场时间</w:t>
            </w:r>
          </w:p>
        </w:tc>
        <w:tc>
          <w:tcPr>
            <w:tcW w:w="2976" w:type="dxa"/>
            <w:vAlign w:val="center"/>
          </w:tcPr>
          <w:p w14:paraId="0B553559">
            <w:pPr>
              <w:spacing w:after="0" w:line="360" w:lineRule="auto"/>
              <w:rPr>
                <w:rFonts w:asciiTheme="minorEastAsia" w:hAnsiTheme="minorEastAsia" w:eastAsiaTheme="minorEastAsia"/>
                <w:strike/>
                <w:color w:val="auto"/>
                <w:sz w:val="24"/>
                <w:szCs w:val="24"/>
                <w:highlight w:val="none"/>
              </w:rPr>
            </w:pPr>
            <w:r>
              <w:rPr>
                <w:rFonts w:hint="eastAsia" w:asciiTheme="minorEastAsia" w:hAnsiTheme="minorEastAsia" w:eastAsiaTheme="minorEastAsia"/>
                <w:color w:val="auto"/>
                <w:sz w:val="24"/>
                <w:szCs w:val="24"/>
                <w:highlight w:val="none"/>
              </w:rPr>
              <w:t>合同签订后双方商定</w:t>
            </w:r>
          </w:p>
        </w:tc>
        <w:tc>
          <w:tcPr>
            <w:tcW w:w="1543" w:type="dxa"/>
            <w:vAlign w:val="center"/>
          </w:tcPr>
          <w:p w14:paraId="5E7621BD">
            <w:pPr>
              <w:spacing w:after="0" w:line="360" w:lineRule="auto"/>
              <w:jc w:val="center"/>
              <w:rPr>
                <w:rFonts w:asciiTheme="minorEastAsia" w:hAnsiTheme="minorEastAsia" w:eastAsiaTheme="minorEastAsia"/>
                <w:color w:val="auto"/>
                <w:sz w:val="24"/>
                <w:szCs w:val="24"/>
                <w:highlight w:val="none"/>
              </w:rPr>
            </w:pPr>
          </w:p>
        </w:tc>
      </w:tr>
      <w:tr w14:paraId="625B4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0B2619D5">
            <w:pPr>
              <w:spacing w:after="0" w:line="360" w:lineRule="auto"/>
              <w:jc w:val="center"/>
              <w:rPr>
                <w:rFonts w:asciiTheme="minorEastAsia" w:hAnsiTheme="minorEastAsia" w:eastAsiaTheme="minorEastAsia"/>
                <w:strike/>
                <w:color w:val="auto"/>
                <w:sz w:val="24"/>
                <w:szCs w:val="24"/>
                <w:highlight w:val="none"/>
              </w:rPr>
            </w:pPr>
            <w:r>
              <w:rPr>
                <w:rFonts w:asciiTheme="minorEastAsia" w:hAnsiTheme="minorEastAsia" w:eastAsiaTheme="minorEastAsia"/>
                <w:color w:val="auto"/>
                <w:sz w:val="24"/>
                <w:szCs w:val="24"/>
                <w:highlight w:val="none"/>
              </w:rPr>
              <w:t>3</w:t>
            </w:r>
          </w:p>
        </w:tc>
        <w:tc>
          <w:tcPr>
            <w:tcW w:w="4036" w:type="dxa"/>
            <w:vAlign w:val="center"/>
          </w:tcPr>
          <w:p w14:paraId="6B57FF14">
            <w:pPr>
              <w:spacing w:after="0" w:line="360" w:lineRule="auto"/>
              <w:rPr>
                <w:rFonts w:asciiTheme="minorEastAsia" w:hAnsiTheme="minorEastAsia" w:eastAsiaTheme="minorEastAsia"/>
                <w:strike/>
                <w:color w:val="auto"/>
                <w:sz w:val="24"/>
                <w:szCs w:val="24"/>
                <w:highlight w:val="none"/>
              </w:rPr>
            </w:pPr>
          </w:p>
        </w:tc>
        <w:tc>
          <w:tcPr>
            <w:tcW w:w="2976" w:type="dxa"/>
            <w:vAlign w:val="center"/>
          </w:tcPr>
          <w:p w14:paraId="76DBAE80">
            <w:pPr>
              <w:spacing w:after="0" w:line="360" w:lineRule="auto"/>
              <w:rPr>
                <w:rFonts w:asciiTheme="minorEastAsia" w:hAnsiTheme="minorEastAsia" w:eastAsiaTheme="minorEastAsia"/>
                <w:strike/>
                <w:color w:val="auto"/>
                <w:sz w:val="24"/>
                <w:szCs w:val="24"/>
                <w:highlight w:val="none"/>
              </w:rPr>
            </w:pPr>
          </w:p>
        </w:tc>
        <w:tc>
          <w:tcPr>
            <w:tcW w:w="1543" w:type="dxa"/>
            <w:vAlign w:val="center"/>
          </w:tcPr>
          <w:p w14:paraId="54E61725">
            <w:pPr>
              <w:spacing w:after="0" w:line="360" w:lineRule="auto"/>
              <w:jc w:val="center"/>
              <w:rPr>
                <w:rFonts w:asciiTheme="minorEastAsia" w:hAnsiTheme="minorEastAsia" w:eastAsiaTheme="minorEastAsia"/>
                <w:strike/>
                <w:color w:val="auto"/>
                <w:sz w:val="24"/>
                <w:szCs w:val="24"/>
                <w:highlight w:val="none"/>
              </w:rPr>
            </w:pPr>
          </w:p>
        </w:tc>
      </w:tr>
    </w:tbl>
    <w:p w14:paraId="0528D30F">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说明：</w:t>
      </w:r>
    </w:p>
    <w:p w14:paraId="323C233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1）备品备件及专用工具随主设备同时交货。</w:t>
      </w:r>
    </w:p>
    <w:p w14:paraId="5245F624">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2）本交货时间为暂定计划，具体交货时间可根据工程进度的要求做相应的调整。</w:t>
      </w:r>
    </w:p>
    <w:p w14:paraId="0633A71F">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3）交货地点为万基宏远电力有限公司院内。</w:t>
      </w:r>
    </w:p>
    <w:p w14:paraId="224C0121">
      <w:pPr>
        <w:pStyle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6、工程综合管理</w:t>
      </w:r>
    </w:p>
    <w:p w14:paraId="465515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6.1.总述</w:t>
      </w:r>
    </w:p>
    <w:p w14:paraId="341D57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6.1.1本附件就</w:t>
      </w:r>
      <w:bookmarkStart w:id="99" w:name="OLE_LINK19"/>
      <w:bookmarkStart w:id="100" w:name="OLE_LINK20"/>
      <w:bookmarkStart w:id="101" w:name="OLE_LINK21"/>
      <w:r>
        <w:rPr>
          <w:rFonts w:hint="eastAsia" w:asciiTheme="minorEastAsia" w:hAnsiTheme="minorEastAsia" w:eastAsiaTheme="minorEastAsia"/>
          <w:color w:val="auto"/>
          <w:sz w:val="24"/>
          <w:szCs w:val="24"/>
          <w:highlight w:val="none"/>
        </w:rPr>
        <w:t>锅炉壁温系统升级改造</w:t>
      </w:r>
      <w:bookmarkEnd w:id="99"/>
      <w:bookmarkEnd w:id="100"/>
      <w:bookmarkEnd w:id="101"/>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szCs w:val="24"/>
          <w:highlight w:val="none"/>
        </w:rPr>
        <w:t>工程现场工程管理的有关工作范围、工作责任、相互关系及主要的管理标准等问题，对本工程实施的具体指导原则提出规范性条款，作为招标方和投标方的行为准则。</w:t>
      </w:r>
    </w:p>
    <w:p w14:paraId="02F2A6A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6.1.2本工程作业范围为洛阳万基宏远电力有限公司2×600MW机组锅炉相关区域，与电厂接口部分由招标方协调，相关施工工作由投标方进行，有关费用由投标方负责，且已经包括在合同总价之中。</w:t>
      </w:r>
    </w:p>
    <w:p w14:paraId="04FBDB9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6.1.3招标方、投标方在锅炉壁温系统升级改造工程建设期间，对涉及各种问题、建议、情况交流等较重大的事项均应以书面文件的形式往来。如果在此期间发生任何争议，以书面文件为第一证据。</w:t>
      </w:r>
    </w:p>
    <w:p w14:paraId="47C4002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6.1.4招标方有权要求投标方调换经审查不合格的人员、有重大过失的人员、以及在实施本项目工作时不能正确履行合同的人员等。投标方应慎重考虑招标方的意见并在3个工作日内书面回复招标方。</w:t>
      </w:r>
    </w:p>
    <w:p w14:paraId="45B17C1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6.1.5招标方对投标方文件的确认以及对工程的参与配合不免除投标方的责任，并且招标方不承担对投标方的分包商的任何管理责任及其它一切责任。</w:t>
      </w:r>
    </w:p>
    <w:p w14:paraId="6FE000C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6.1.6投标方或分包的施工单位必须具有独立法人资格，且具有要求的施工资质，承担过至少2台以上600MW机组锅炉壁温系统升级改造工程业绩</w:t>
      </w:r>
      <w:r>
        <w:rPr>
          <w:rFonts w:hint="eastAsia" w:asciiTheme="minorEastAsia" w:hAnsiTheme="minorEastAsia" w:eastAsiaTheme="minorEastAsia"/>
          <w:color w:val="auto"/>
          <w:sz w:val="24"/>
          <w:szCs w:val="24"/>
          <w:highlight w:val="none"/>
          <w:lang w:val="en-US" w:eastAsia="zh-CN"/>
        </w:rPr>
        <w:t>或600MW锅炉B级检修业绩</w:t>
      </w:r>
      <w:r>
        <w:rPr>
          <w:rFonts w:hint="eastAsia" w:asciiTheme="minorEastAsia" w:hAnsiTheme="minorEastAsia" w:eastAsiaTheme="minorEastAsia"/>
          <w:color w:val="auto"/>
          <w:sz w:val="24"/>
          <w:szCs w:val="24"/>
          <w:highlight w:val="none"/>
        </w:rPr>
        <w:t>。并拥有施工小型火电站所需施工机械，施工队伍具有现代化管理水平。</w:t>
      </w:r>
    </w:p>
    <w:p w14:paraId="7453774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6.1.7项目经理的资格要求：投标方须提供拟任项目经理有效的机电专业二级注册建造师证书或高级专业技术职称证书。</w:t>
      </w:r>
    </w:p>
    <w:p w14:paraId="2B06411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6.1.8 本改造工程涉及的脚手架搭设、保温材料施工以及消耗性材料（保温材料、氧气、乙炔等）全部由投标方负责。</w:t>
      </w:r>
    </w:p>
    <w:p w14:paraId="0DA04454">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6.1.9 本项目投标方或分包的施工单位必须具有环保专业承包二级资质或电力或机电施工总承包二级及以上资质。</w:t>
      </w:r>
    </w:p>
    <w:p w14:paraId="619DED64">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 xml:space="preserve"> 投标人需提供2022年-2024年间连续三年，经会计师事务所或审计机构出具的财务审计报告；</w:t>
      </w:r>
    </w:p>
    <w:p w14:paraId="26A15B81">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 xml:space="preserve"> 投标人不得列入国家企业信用信息公示系统经营异常名录信息、严重违法失信企业名单（黑名单)；</w:t>
      </w:r>
    </w:p>
    <w:p w14:paraId="6366597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6.2.工作范围</w:t>
      </w:r>
    </w:p>
    <w:p w14:paraId="14A09E2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6.2.1概述</w:t>
      </w:r>
    </w:p>
    <w:p w14:paraId="57B6FAD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负责为招标方提供一套完整的锅炉壁温系统，负责改造工程的设计、采购、施工安装和试运行服务等全过程，向招标方交付具备使用条件的工程。总的工作范围包括全部设计、设备制造（含现场制作设备）、设备及材料供货、运输、设备安装、调试、技术服务、人员培训、试验、检验、售后服务等以及为本次改造而进行其他设备的改造设计、制造、供货、运输和储存、转运拆除废旧物资、安装、恢复原系统、调试、检验、试验、试运行、考核运行、消缺、培训以及工程移交后的售后服务等。</w:t>
      </w:r>
    </w:p>
    <w:p w14:paraId="4BFC193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6.2.2施工和安装</w:t>
      </w:r>
    </w:p>
    <w:p w14:paraId="237C092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6.2.2.1投标方负责锅炉壁温系统升级改造的现场安装工并对施工安装方案和质量负责。本合同涉及范围内旧设备的拆除和新设备的安装和调试均由投标方负责（脚手架由投标方负责），拆下的旧设备归招标方所有，投标方负责运送至指定厂内地点。整个拆除、安装、调试过程须在招标方人员监督下进行</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施工过程造成原设施、设备损坏的由投标方负责恢复</w:t>
      </w:r>
      <w:r>
        <w:rPr>
          <w:rFonts w:hint="eastAsia" w:asciiTheme="minorEastAsia" w:hAnsiTheme="minorEastAsia" w:eastAsiaTheme="minorEastAsia"/>
          <w:color w:val="auto"/>
          <w:sz w:val="24"/>
          <w:szCs w:val="24"/>
          <w:highlight w:val="none"/>
        </w:rPr>
        <w:t>。重要工序由投标方提供，经双方技术人员签字确认。</w:t>
      </w:r>
    </w:p>
    <w:p w14:paraId="73A6BF0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6.2.2.2投标方在应提供完整的施工组织方案、设计供货安装进度，提供施工图纸、施工方案及安全措施、施工进度网络图。</w:t>
      </w:r>
    </w:p>
    <w:p w14:paraId="5034BC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6.2.2.3本改造项目施工机具、消耗性材料、保温</w:t>
      </w:r>
      <w:r>
        <w:rPr>
          <w:rFonts w:hint="eastAsia" w:asciiTheme="minorEastAsia" w:hAnsiTheme="minorEastAsia" w:eastAsiaTheme="minorEastAsia"/>
          <w:color w:val="auto"/>
          <w:sz w:val="24"/>
          <w:szCs w:val="24"/>
          <w:highlight w:val="none"/>
          <w:lang w:val="en-US" w:eastAsia="zh-CN"/>
        </w:rPr>
        <w:t>拆除恢复相关工作</w:t>
      </w:r>
      <w:r>
        <w:rPr>
          <w:rFonts w:hint="eastAsia" w:asciiTheme="minorEastAsia" w:hAnsiTheme="minorEastAsia" w:eastAsiaTheme="minorEastAsia"/>
          <w:color w:val="auto"/>
          <w:sz w:val="24"/>
          <w:szCs w:val="24"/>
          <w:highlight w:val="none"/>
        </w:rPr>
        <w:t>全部由投标方负责。</w:t>
      </w:r>
    </w:p>
    <w:p w14:paraId="37364D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6.2.2.4改造后的冷态调试、热态调试试验：投标方负责在设备安装、保温及现场检验和试验工作全部完成之后，进行系统调试。</w:t>
      </w:r>
    </w:p>
    <w:p w14:paraId="541CC26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6.3.工程管理</w:t>
      </w:r>
    </w:p>
    <w:p w14:paraId="4712850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6.3.1投标方项目组织机构及要求</w:t>
      </w:r>
    </w:p>
    <w:p w14:paraId="00838B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了保证锅炉壁温系统升级改造工程按规定建成投产，在本工程实施的全过程中，投标方应在招标方的监督和指导之下通过建立和健全相应的组织机构，组织、联系、协调各有关单位，对本工程建设项目实施有效的管理，以保证本项目在安全、质量、技术、工期、物资、投资控制、文明施工、档案管理等各个方面均达到规定标准，按期投产并移交招标方。因此，投标方应为本项目建立专门的总承包管理机构，并设置专门人员负责上述工作并保持与招标方和有关单位的联系。</w:t>
      </w:r>
    </w:p>
    <w:p w14:paraId="7D26686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投标方应建立适应本项目的技术管理体系，各级、各专责技术负责人要具有相应的资质、能胜任锅炉壁温系统升级改造工程技术工作，名单应报招标方同意并备案。</w:t>
      </w:r>
    </w:p>
    <w:p w14:paraId="48E5C4D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特种作业人员（含高处作业）必须持有满足应急管理局要求的证书，并提供应急管理局网站查询资料，特种设备操作人员应提供市场监督管理局查询的证书资料；安全员必须持有安全资格管理证书且在有效期内；投标方所有人员应具备一定的安全基础知识，能独立完成招标方组织的各项培训、考试。</w:t>
      </w:r>
    </w:p>
    <w:p w14:paraId="2B87D7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负责人、安全员、工程技术人员距离开工日期至少提前5天到招标方接受安全教育培训和安全技术交底。以上主要负责人员（指部门负责人及以上人员）任命名单、资质、行政职务、组织关系、以及授权等均应书面通知招标方。招标方将对此进行审查认可，未经招标方同意，在工程建设期间投标方不得任意更换主要负责人员。</w:t>
      </w:r>
    </w:p>
    <w:p w14:paraId="3D422EB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6.3.2投标方应设立项目部并明确项目经理的工作范围和职责、职权，由项目经理负责制定相应的、适应本项目的各项管理制度，例如安全、质量、进度、文明生产、会议制度等方面的管理制度等。并以书面文件的形式在合同生效后提交招标方审查后执行。</w:t>
      </w:r>
    </w:p>
    <w:p w14:paraId="4EE8BB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经理应挑选具有资质、业绩（至少担任过单机容量600MW锅炉壁温系统升级改造工程项目经理）并符合本工程项目条件的人员担任，各部门负责人员也应委派具有相应资质和业绩的人员担任。名单应送交招标方审核后执行。对招标方表示有疑问的人员应慎重选派。</w:t>
      </w:r>
    </w:p>
    <w:p w14:paraId="2D88810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6.3.3项目方案</w:t>
      </w:r>
    </w:p>
    <w:p w14:paraId="59BF60C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投标方应按合同规定的技术标准、技术规范、制造厂标准进行设计、物资及设备采购、施工、调试、验收等，但不限于此，必须保证锅炉壁温系统升级改造工程各个环节都达到合同规定的技术标准。</w:t>
      </w:r>
    </w:p>
    <w:p w14:paraId="69C1FE7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为了保证本锅炉壁温系统升级改造工程建设达到规定标准，投标方应根据工程合同、标准和规范编制有关的项目组织方案，经招标方审核同意后实施，作为投标方在招标方的监督、指导之下，指导</w:t>
      </w:r>
      <w:bookmarkStart w:id="102" w:name="OLE_LINK23"/>
      <w:bookmarkStart w:id="103" w:name="OLE_LINK22"/>
      <w:r>
        <w:rPr>
          <w:rFonts w:hint="eastAsia" w:asciiTheme="minorEastAsia" w:hAnsiTheme="minorEastAsia" w:eastAsiaTheme="minorEastAsia"/>
          <w:color w:val="auto"/>
          <w:sz w:val="24"/>
          <w:szCs w:val="24"/>
          <w:highlight w:val="none"/>
        </w:rPr>
        <w:t>锅炉壁温系统升级改造</w:t>
      </w:r>
      <w:bookmarkEnd w:id="102"/>
      <w:bookmarkEnd w:id="103"/>
      <w:r>
        <w:rPr>
          <w:rFonts w:hint="eastAsia" w:asciiTheme="minorEastAsia" w:hAnsiTheme="minorEastAsia" w:eastAsiaTheme="minorEastAsia"/>
          <w:color w:val="auto"/>
          <w:sz w:val="24"/>
          <w:szCs w:val="24"/>
          <w:highlight w:val="none"/>
        </w:rPr>
        <w:t>建设的基本文件之一。至少包括以下部分，但不限于此：</w:t>
      </w:r>
    </w:p>
    <w:p w14:paraId="54F4C66E">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总承包组织大纲</w:t>
      </w:r>
    </w:p>
    <w:p w14:paraId="150555F8">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设计组织大纲</w:t>
      </w:r>
    </w:p>
    <w:p w14:paraId="587F1383">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机械设备和材料安装施工组织大纲</w:t>
      </w:r>
    </w:p>
    <w:p w14:paraId="15500537">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热控安装组织大纲</w:t>
      </w:r>
    </w:p>
    <w:p w14:paraId="3EF23CC6">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调试大纲</w:t>
      </w:r>
    </w:p>
    <w:p w14:paraId="5C48CDA9">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试运行大纲</w:t>
      </w:r>
    </w:p>
    <w:p w14:paraId="0C86E5EE">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物资管理办法</w:t>
      </w:r>
    </w:p>
    <w:p w14:paraId="11DD2EC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6.4.工程进度管理和计划</w:t>
      </w:r>
    </w:p>
    <w:p w14:paraId="746B3C0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投标方应根据本改造工程的改造范围及特点、项目组织实施程序及试生产顺序要求，合理编制锅炉壁温系统升级改造总的控制工期，并标出关键的控制节点工期，合同谈判时提交，供招标方确认。</w:t>
      </w:r>
    </w:p>
    <w:p w14:paraId="09854CA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照制定的项目总进度表，把工程设计、设备材料采购、工程施工、试车、试验及调试、工程建设条件的要求进行统筹安排合理交叉，制定出切实可行且留有余地的工程统筹控制计划、工程项目各个阶段详细的进度表和工程项目各个阶段详细的进度控制网络计划图。</w:t>
      </w:r>
    </w:p>
    <w:p w14:paraId="61F27B4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投标方应按周、月编制作业进度计划和作业进度完成情况报告，送招标方备案。</w:t>
      </w:r>
    </w:p>
    <w:p w14:paraId="4FFAD77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投标方应承诺本锅炉壁温系统升级改造按规定按期完成的条件，例如库房、组合场地、加工场地、公路运输等条件，不限于此，由投标方负责，组织落实情况报招标方备案，并保证此类事务不影响工期。</w:t>
      </w:r>
    </w:p>
    <w:p w14:paraId="5A4D033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招标方不接受投标方要求调整合同规定的总工期的要求，除非投标方能证明工期延误属于招标方的责任。不可抗力造成的工期延误或装置损坏由双方协商解决。</w:t>
      </w:r>
    </w:p>
    <w:p w14:paraId="008BCE6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项目施工进度表和设备交货进度表应在技术协议中提交、合同谈判时招标方确认。</w:t>
      </w:r>
    </w:p>
    <w:p w14:paraId="0B24405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6.4.1设计进度及管理</w:t>
      </w:r>
    </w:p>
    <w:p w14:paraId="633416E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锅炉壁温系统升级改造工程应保证工艺技术先进，系统配置合理，设备性能可靠，装置投产后要达到设计能力，安全、经济运行。要达到上述标准，至关重要的是项目设计，投标方要保证设计工作达到合同规定的各项性能保证指标。</w:t>
      </w:r>
    </w:p>
    <w:p w14:paraId="1E21C8E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投标方应按照招标方确定的工程总体进度要求，按时提供基本设计文件、详细设计文件、设备采购技术技术协议及施工、安装、运行说明书。</w:t>
      </w:r>
    </w:p>
    <w:p w14:paraId="5BBDD3E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提供的设计不仅应满足施工、安装和调试的要求，还应满足招标方运行、维护和检修方便的需要，而且同时应符合本标书中规定的技术要求。本设计应能达到优良的技术经济指标，满足合同中规定的各项保证值要求。在本工程实施过程中，因各种原因需要进行小型的设计修改，例如避碰、遗漏等，这些修改应经招标方代表签字确认。本项目的设计修改不涉及工艺、主要设备、主要材料、不降低建设标准等关键环节。</w:t>
      </w:r>
    </w:p>
    <w:p w14:paraId="245F7E9A">
      <w:pPr>
        <w:spacing w:after="0" w:line="360" w:lineRule="auto"/>
        <w:rPr>
          <w:rFonts w:ascii="宋体" w:hAnsi="宋体" w:eastAsia="宋体" w:cs="宋体"/>
          <w:color w:val="auto"/>
          <w:sz w:val="24"/>
          <w:szCs w:val="24"/>
          <w:highlight w:val="none"/>
        </w:rPr>
      </w:pPr>
      <w:r>
        <w:rPr>
          <w:rFonts w:hint="eastAsia" w:asciiTheme="minorEastAsia" w:hAnsiTheme="minorEastAsia" w:eastAsiaTheme="minorEastAsia"/>
          <w:color w:val="auto"/>
          <w:sz w:val="24"/>
          <w:szCs w:val="24"/>
          <w:highlight w:val="none"/>
        </w:rPr>
        <w:t>投标方按照招标方的总体进度要求，组织召开设计联络会。</w:t>
      </w:r>
    </w:p>
    <w:p w14:paraId="3AE50BE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6.4.2设备材料采购进度及管理</w:t>
      </w:r>
    </w:p>
    <w:p w14:paraId="5416B4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根据项目进度要求，负责编制采购计划，负责编制技术协议或询价函。投标方负责招标、组织评标和合同谈判，投标方应保证所采购的所有设备满足工程总进度、性能指标和安全可靠运行的要求。</w:t>
      </w:r>
    </w:p>
    <w:p w14:paraId="30E1553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根据总进度的要求，结合现场的实际情况（存放场地及库房条件）和设备的保管要求，由投标方负责编排详细的设备交货进度，并会同招标方与各设备供货商在合同谈判中予以落实，并以合同附件加以明确。投标方在施工过程中应按合同规定的交货进度，结合工程实际情况及时跟踪、催交设备。</w:t>
      </w:r>
    </w:p>
    <w:p w14:paraId="330441F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承包设备管理工作的范围是从合同签订后开始，在合同执行过程全过程的管理服务（包括但不仅仅限于：货讯管理、跟踪；交货资料管理；工厂监造；设备催交；工厂检验；运输及保险；现场接运；开箱检验；仓储保管；品质检验和性能考核；对外索赔取证等）。</w:t>
      </w:r>
    </w:p>
    <w:p w14:paraId="473E21C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6.4.3施工及调试进度及管理</w:t>
      </w:r>
    </w:p>
    <w:p w14:paraId="18F8147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6.4.3.1施工组织方案</w:t>
      </w:r>
    </w:p>
    <w:p w14:paraId="5A73D6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整个工程施工的思路、想法、主吊车的选用等进行叙述，对施工总平面布置、施工区域划分和施工用地面积指标、交通运输组织、施工管线平面布置、施工机械平面布置、施工总平面管理、施工临时设施及场地（包括土建工程生产性施工临时建筑及施工场地、安装工程生产性施工临时建筑及施工场地、生活性施工临时建筑）等进行说明，并提出施工临时建筑总面积。</w:t>
      </w:r>
    </w:p>
    <w:p w14:paraId="24872DB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6.4.3.2施工力能供应和施工人力、机具配置</w:t>
      </w:r>
    </w:p>
    <w:p w14:paraId="10B95D3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施工时供水、供电、供热、以及氧气、乙炔、氩气和压缩空气等供应方式等进行说明；并提出综合劳动力和主要工种劳动力安排计划，以及主要施工机械设备配置及进场计划施工人员组织、施工机具数量等。</w:t>
      </w:r>
    </w:p>
    <w:p w14:paraId="07721CB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6.4.3.3分部调试方案</w:t>
      </w:r>
    </w:p>
    <w:p w14:paraId="3E18FCC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分系统单独试运转试验应在调试工作开始之前由投标方负责进行，并消除所发现的缺陷。在开始试验前，投标方应按系统提供装置的分部试运方案。投标方应确保各个系统能够正常运行，满足技术协议中的各项要求。</w:t>
      </w:r>
    </w:p>
    <w:p w14:paraId="360776F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6.4.3.4整体调试方案</w:t>
      </w:r>
    </w:p>
    <w:p w14:paraId="1553868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在机械安装、保温及现场检验试验以及分部调试工作都完成并通过竣工检验之后，应进行冷态调试试验，冷态试验调试完毕。</w:t>
      </w:r>
    </w:p>
    <w:p w14:paraId="0C80721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在装置通过竣工检验之前，投标方必须向招标方提交详细的调试计划及运行操作手册。装置试运行的时间和负荷范围须事先征求招标方同意。</w:t>
      </w:r>
    </w:p>
    <w:p w14:paraId="1C9110B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投标方应对全套装置的启动、调试及性能试验工作负全部责任。投标方应派调试和性能试验人员到现场以便直接指挥或管理招标方操作人员正确处理和操作系统及设备。</w:t>
      </w:r>
    </w:p>
    <w:p w14:paraId="4338BF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控制系统应具有良好的响应特性，并符合本技术协议的要求。</w:t>
      </w:r>
    </w:p>
    <w:p w14:paraId="7D436F2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6.5.质量目标及保证措施</w:t>
      </w:r>
    </w:p>
    <w:p w14:paraId="30549E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6.5.1质量目标</w:t>
      </w:r>
    </w:p>
    <w:p w14:paraId="0BA4F66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6.5.1.1投标方应结合工程实际情况，提供符合ISO9001：2000质量管理体系要求的质量计划或质保大纲。</w:t>
      </w:r>
    </w:p>
    <w:p w14:paraId="5ECC053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6.5.1.2投标方应结合工程实际情况，提供达标创优的策划、措施。</w:t>
      </w:r>
    </w:p>
    <w:p w14:paraId="0A5624A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6.5.1.3投标方负责总承包范围内的从初步设计到竣工的全面质量管理，使项目建设按照设备供货商提供的技术、标准，国内的有关电力建设施工、调试的技术规范、标准、验收规程要求进行设计、设备制造、材料采购、土建施工、设备安装、调试以至移交生产的全过程、全方位的质量管理，使之满足设计要求,移交生产达标并形成综合生产能力。本工程质量总体要求为：</w:t>
      </w:r>
    </w:p>
    <w:p w14:paraId="57681AF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6.5.1.4安装项目单位工程优良率100%</w:t>
      </w:r>
    </w:p>
    <w:p w14:paraId="2AC624A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分部工程优良率为100%</w:t>
      </w:r>
    </w:p>
    <w:p w14:paraId="57B9651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分项工程优良率&gt;98%</w:t>
      </w:r>
    </w:p>
    <w:p w14:paraId="39FAFA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分项工程合格率100%</w:t>
      </w:r>
    </w:p>
    <w:p w14:paraId="58924AB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安装焊口一检合格率99%以上</w:t>
      </w:r>
    </w:p>
    <w:p w14:paraId="5214DAD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6.5.1.5本工程所有工程项目的施工质量将全部受监受检，施工全过程受控，将不合格品消除在施工过程中，确保施工结果及成品质量项符合标准，达到优良。</w:t>
      </w:r>
    </w:p>
    <w:p w14:paraId="671DF24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6.5.2质量标准</w:t>
      </w:r>
    </w:p>
    <w:p w14:paraId="049C131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投标方用于质量管理的国内标准和规范参见附件11，引进标准和规范在签订合同之后按规定翻译后提供给招标方。</w:t>
      </w:r>
    </w:p>
    <w:p w14:paraId="7FFBCC4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6.5.3质量控制</w:t>
      </w:r>
    </w:p>
    <w:p w14:paraId="7038EE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6.5.3.1设计质量</w:t>
      </w:r>
    </w:p>
    <w:p w14:paraId="1B34244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6.5.3.1.1投标方负责按照与外商的合同中规定的技术规范、标准审查设备供货商的设计（包括图纸、资料的质量），及时发现不符项并提出处理意见，重大问题报招标方认可后实施。</w:t>
      </w:r>
    </w:p>
    <w:p w14:paraId="5B7EF70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6.5.3.1.2投标方负责设计范围内的设计质量，确保项目设计符合国家的有关法律、法规和技术标准。</w:t>
      </w:r>
    </w:p>
    <w:p w14:paraId="00C9FD3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6.5.3.1.3当设计与现场实际不符或其它原因需要设计变更时，应报招标方认可后由投标方组织实施。</w:t>
      </w:r>
    </w:p>
    <w:p w14:paraId="7351485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6.5.3.1.4投标方负责组织设计交底与图纸会审。</w:t>
      </w:r>
    </w:p>
    <w:p w14:paraId="72F4606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6.5.3.2设备和材料质量</w:t>
      </w:r>
    </w:p>
    <w:p w14:paraId="50A3B0C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6.5.3.2.1投标方负责按照合同规定的技术规范、标准监督、检查设备的制造质量，在设备厂家监造、开箱检查、以及设备安装过程中及时发现不符项，作好记录、签证工作，并提出处理意见，发现重大问题，应报招标方认可后由投标方实施。</w:t>
      </w:r>
    </w:p>
    <w:p w14:paraId="3070B4F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6.5.3.2.2投标方负责自行采购的产品质量和服务质量，建立不合格产品管理程序，不合格产品不得用在工程上。</w:t>
      </w:r>
    </w:p>
    <w:p w14:paraId="62346D0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6.5.3.2.3投标方对本工程供应的主要设备、主要材料如发现重大质量问题，应在第一时间内通知招标方，并按有关规定积极处理。处理的结果必须经招标方确认。投标方对其它设备、材料发生的质量问题和处理方案，也应通知招标方并取得同意。</w:t>
      </w:r>
    </w:p>
    <w:p w14:paraId="727A6A0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6.5.3.3施工质量</w:t>
      </w:r>
    </w:p>
    <w:p w14:paraId="78817F1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6.5.3.3.1投标方根据质量管理的要求，建立质量体系，编制质保程序，并根据实际情况，编本工程质量控制计划，质量检验和试验计划, 报招标方认可后由投标方组织实施。</w:t>
      </w:r>
    </w:p>
    <w:p w14:paraId="43C668A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6.5.3.3.2投标方将编制总承包范围内的施工组织设计和重大施工技术措施、方案，报招标方或招标方代表认可后由投标方组织实施。</w:t>
      </w:r>
    </w:p>
    <w:p w14:paraId="534122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6.5.3.3.3经招标方同意的投标方向外分包工程，投标方仍应对质量负全部责任。</w:t>
      </w:r>
    </w:p>
    <w:p w14:paraId="786FA08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6.5.3.3.4招标方有权监督检查，有权发出纠正通知，投标方应在规定期限内采取纠正措施，当发现有严重损害质量、或多次采取纠正措施均无效的情况时，招标方或招标方代表有权使用质量一票否决权，发布警告或停工令。</w:t>
      </w:r>
    </w:p>
    <w:p w14:paraId="24FA13E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6.5.3.3.5投标方对工程中采用的新材料、新结构、施工新工艺、新技术，均应审核其技术鉴定书。未经试验或无技术鉴定书的新工艺、新技术、新材料、新结构不得在工程上应用。</w:t>
      </w:r>
    </w:p>
    <w:p w14:paraId="5C465FC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6.5.3.3.6主要单项、单位工程的开工，由投标方提出开工申请报告，招标方复核后发布开工令。</w:t>
      </w:r>
    </w:p>
    <w:p w14:paraId="0275F02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6.5.3.3.7工程施工质量必须符合外商图纸、资料以及国内有关电力建设的标准要求，工程的最终质量验收评定结果达到优良标准。</w:t>
      </w:r>
    </w:p>
    <w:p w14:paraId="1524415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6.5.3.3.8对质量检验和试验计划中规定的控制点，投标方应于24小时前（厂外工程48小时），书面通知招标方以及招标方代表，招标方或招标方代表按时到达现场进行检查，如无异议，双方代表签字。对见证点，如招标方代表未能及时到现场，投标方可自检合格后继续施工。对停工待检点，如招标方代表未能及时到现场，投标方等待2小时后，将继续施工，招标方以及招标方代表则应予承认，并在3天内补办此项目签字。</w:t>
      </w:r>
    </w:p>
    <w:p w14:paraId="664B964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6.5.3.3.9投标方应严格执行隐蔽工程验收制度，隐蔽工程在具备覆盖条件时，投标方应于24小时（厂外工程48小时）前书面通知招标方以及招标方代表，招标方代表按时到现场验收，然后办理隐蔽工程验收手续，如招标方代表未到现场检查验收，投标方可自行检查验收，并做好记录后覆盖，招标方以及招标方代表应予承认。日后如招标方或招标方代表提出开挖检查，投标方应按招标方要求挖出。检查结果不符合质量要求者，其返工费用由投标方负责，如质量符合要求则费用由招标方负责。投标方在隐蔽工程施工前，未按规定书面通知招标方检查验收，擅自覆盖隐蔽工程，招标方有权要求停工，停工损失由投标方自行负责。上道工序未经验收合格，不得进行下一道工序的施工。</w:t>
      </w:r>
    </w:p>
    <w:p w14:paraId="533EB7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6.5.3.3.10投标方对完成的分项、分部工程，按相应的质量评定标准和方法进行检查、验收，通知招标方代表参加。对阶段性或单位工程的检查验收，由投标方向质监站提出申请（质监站同意），由质监站组织进行监督检查，通知招标方以及招标方代表参加。</w:t>
      </w:r>
    </w:p>
    <w:p w14:paraId="6F627F8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6.5.3.3.11发生质量事故，投标方应报招标方以及招标方代表共同研究处理，在任何情况下，都不能使最终工程质量受到影响，造成隐患，否则，招标方或招标方代表有权要求投标方返工，并保证工期，由此发生的费用由投标方负责。</w:t>
      </w:r>
    </w:p>
    <w:p w14:paraId="6301067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6.5.3.4调试质量</w:t>
      </w:r>
    </w:p>
    <w:p w14:paraId="3BB38ED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6.5.3.4.1投标方负责建立调试质量管理体系，编制调试质量控制计划和质保程序以及单机、分系统和整套启动调试方案。</w:t>
      </w:r>
    </w:p>
    <w:p w14:paraId="748A634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6.5.3.4.2投标方负责编制调试质量检验计划，确定调试项目见证点或控制点。</w:t>
      </w:r>
    </w:p>
    <w:p w14:paraId="344FF5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5.3.4.3调试质量要求达到部颁《火电工程调整试运质量检验评定标准（1996版）》优的标准。</w:t>
      </w:r>
    </w:p>
    <w:p w14:paraId="287F248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6.5.3.4.4招标方组织完成热管低温省煤器装置的性能考核，性能指标达到设计值。如性能不能达到设计值，则按考核指标进行考核。</w:t>
      </w:r>
    </w:p>
    <w:p w14:paraId="3E7510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6.5.4验收</w:t>
      </w:r>
    </w:p>
    <w:p w14:paraId="1247EDD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本改造工程应严格按合同和有关标准、规范建设并完成。在招标方的监督、指导下，由投标方设计、设备和材料供应、施工、调试、试运行合格后，由招标方验收合格。</w:t>
      </w:r>
    </w:p>
    <w:p w14:paraId="0AD59AA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 质量管理考核细则</w:t>
      </w:r>
    </w:p>
    <w:p w14:paraId="6063B4C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6.5.5.1投标方违反合同要求转包工程或违反合同要求分包工程，且分包给不具备相应资质的单位，招标方将按合同违约条款处理并将其违法行为上报至建设行政主管部门进行处罚；对造成质量损失的，承担赔偿责任。</w:t>
      </w:r>
    </w:p>
    <w:p w14:paraId="282B30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6.5.5.2投标方在办理合同规定的分包业务时，未经合同规定审核单位的同意将业务分包给不具相应资质的单位的，责令改正并处罚款：10000～20000元。</w:t>
      </w:r>
    </w:p>
    <w:p w14:paraId="74C75A7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6.5.5.3投标方因管理不善、人员过失等原因，发生重大质量事故的，除承担质量事故造成的全部损失外应在招标方的要求下限期完成整改，如经整改仍达不到标准的，招标方有权终止合同。</w:t>
      </w:r>
    </w:p>
    <w:p w14:paraId="0756B2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6.5.5.4施工承包商有下列情形之一的，责令改正并处罚款500～30000元。</w:t>
      </w:r>
    </w:p>
    <w:p w14:paraId="7B5A94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6.5.5.4.1项目经理、施工负责人及设计负责人自工程前期筹划至工程竣工止，每月在施工现场少于22天，工程施工作业密集或工期紧张时少于30天。</w:t>
      </w:r>
    </w:p>
    <w:p w14:paraId="571BE49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6.5.5.4.2施工组织措施未得到批准、施工之前未对作业人员作书面的技术及质量标准的交底并报监理部备案；无开工令自行开工的；</w:t>
      </w:r>
    </w:p>
    <w:p w14:paraId="3E0CF62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6.5.5.4.3没有正当理由和合理手续拖延开工时间，停工令后未经监理工程师同意擅自开工的；</w:t>
      </w:r>
    </w:p>
    <w:p w14:paraId="5E826C1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6.5.5.4.4不合格材料、构配件以及材料未经检验而使用的；</w:t>
      </w:r>
    </w:p>
    <w:p w14:paraId="7B53216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6.5.5.4.5违反工程建设强制性标准降低工程质量或不按规范操作或不按标准和施工图纸施工的；</w:t>
      </w:r>
    </w:p>
    <w:p w14:paraId="1B685A3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6.5.5.4.6工程未经验收或验收不合格而进行下道工序、隐蔽、交工的；</w:t>
      </w:r>
    </w:p>
    <w:p w14:paraId="101D345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6.5.5.4.7对质检（监）人员和监理工程师提出的质量问题超过要求时间不处理（或不答复）或再次处理仍不合格的；</w:t>
      </w:r>
    </w:p>
    <w:p w14:paraId="7506AE0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6.5.5.4.8未经项目监理部的批准进行任何质量问题的修复、纠偏等工作。</w:t>
      </w:r>
    </w:p>
    <w:p w14:paraId="4AC26A1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6.5.5.4.9各种验收表格的填报资料，必须真实、准确，真正做到现场实测实量，不准弄虚作假。</w:t>
      </w:r>
    </w:p>
    <w:p w14:paraId="1733F84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6.5.5.4.10存在质量通病且消除不力的；</w:t>
      </w:r>
    </w:p>
    <w:p w14:paraId="6B377C8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6.5.5.4.11发生质量事故隐瞒不报、谎报或者拖延报告期限的；</w:t>
      </w:r>
    </w:p>
    <w:p w14:paraId="320C6F8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6.5.5.4.12造成成品二次污染的。</w:t>
      </w:r>
    </w:p>
    <w:p w14:paraId="157960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上述条款造成工程质量不符合质量标准的，要负责返工、修理，并赔偿相应的经济损失。造成质量事故的责令整顿，如整改不力再次发生事故则责令退出现场。</w:t>
      </w:r>
    </w:p>
    <w:p w14:paraId="613288B1">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br w:type="page"/>
      </w:r>
    </w:p>
    <w:p w14:paraId="521175D0">
      <w:pPr>
        <w:spacing w:after="0" w:line="360" w:lineRule="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7、技术资料和交付进度</w:t>
      </w:r>
    </w:p>
    <w:p w14:paraId="589B14E2">
      <w:pPr>
        <w:spacing w:after="0" w:line="360" w:lineRule="auto"/>
        <w:rPr>
          <w:rFonts w:asciiTheme="minorEastAsia" w:hAnsiTheme="minorEastAsia" w:eastAsiaTheme="minorEastAsia"/>
          <w:color w:val="auto"/>
          <w:sz w:val="24"/>
          <w:szCs w:val="24"/>
          <w:highlight w:val="none"/>
        </w:rPr>
      </w:pPr>
      <w:bookmarkStart w:id="104" w:name="_Toc16135040"/>
      <w:r>
        <w:rPr>
          <w:rFonts w:hint="eastAsia" w:asciiTheme="minorEastAsia" w:hAnsiTheme="minorEastAsia" w:eastAsiaTheme="minorEastAsia"/>
          <w:color w:val="auto"/>
          <w:sz w:val="24"/>
          <w:szCs w:val="24"/>
          <w:highlight w:val="none"/>
        </w:rPr>
        <w:t>7.1 一般要求</w:t>
      </w:r>
    </w:p>
    <w:p w14:paraId="6E4970B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7.1.1 投标人提供的资料使用中国法定计量单位。技术资料和图纸的文种为中文。外方提供的图纸和资料翻译成中文随同原文一并提交招标人。图纸资料以中文为准，图纸资料除提供书面文件外还提供软盘或光盘。图纸为AutoCAD格式，文本文件为Word/Excel格式。</w:t>
      </w:r>
    </w:p>
    <w:p w14:paraId="5EE8B60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7.1.2 资料的组织结构清晰、逻辑性强。资料内容要正确、准确、一致、清晰完整，满足工程要求。</w:t>
      </w:r>
    </w:p>
    <w:p w14:paraId="1025D81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7.1.3 投标人资料的提交及时充分，满足工程进度要求。在合同草签后半个月内提交主要技术数据清单及满足工程设计的图纸资料。</w:t>
      </w:r>
    </w:p>
    <w:p w14:paraId="3990BAB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7.1.4 投标人提供的技术资料一般可分为配合工程设计阶段，设备监造检验，施工调试试运、性能验收试验和运行维护等四个方面。投标人须满足以上四个方面的具体要求。</w:t>
      </w:r>
    </w:p>
    <w:p w14:paraId="26D0CF4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7.1.5 对于其它没有列入合同技术数据清单，确是工程所必需的文件和资料，一经发现，投标人也及时免费提供。如本期工程为多台机组（设备）构成，后续机组（设备）有改进时，投标人及时免费提供新的技术资料。</w:t>
      </w:r>
    </w:p>
    <w:p w14:paraId="2145868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7.1.6 招标人将及时提供与合同设备设计制造有关的资料。</w:t>
      </w:r>
    </w:p>
    <w:p w14:paraId="44D80A8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7.1.7 投标人提供的施工用技术资料为每台机组10套，电子文本2套，且在设备交货前10天提前供完。并盖有“河南万基宏远电力有限公司机组灵活性改造工程专用”及“正式资料”字样专用章。</w:t>
      </w:r>
    </w:p>
    <w:p w14:paraId="3CB66C0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7.1.8 投标人在配合工程设计阶段应提供的技术资料为5套，电子文本2套。</w:t>
      </w:r>
    </w:p>
    <w:p w14:paraId="22F4829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7.1.9 投标人提供的图纸应清晰，不得提供缩微复印的图纸。</w:t>
      </w:r>
    </w:p>
    <w:p w14:paraId="69E3C9B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7.1.10如有英文资料，请投标人提供中文资料，并以中文资料为准。</w:t>
      </w:r>
    </w:p>
    <w:p w14:paraId="38C691E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7.2图纸资料要求</w:t>
      </w:r>
      <w:bookmarkEnd w:id="104"/>
    </w:p>
    <w:p w14:paraId="1FFCED11">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协议签订后7天内提供正式图纸文件资料，最终图纸注明定货合同号并有明显的最终版标记。</w:t>
      </w:r>
    </w:p>
    <w:p w14:paraId="46EEE740">
      <w:pPr>
        <w:spacing w:after="0" w:line="360" w:lineRule="auto"/>
        <w:rPr>
          <w:rFonts w:asciiTheme="minorEastAsia" w:hAnsiTheme="minorEastAsia" w:eastAsiaTheme="minorEastAsia"/>
          <w:color w:val="auto"/>
          <w:sz w:val="24"/>
          <w:szCs w:val="24"/>
          <w:highlight w:val="none"/>
        </w:rPr>
      </w:pPr>
      <w:bookmarkStart w:id="105" w:name="_Toc509906178"/>
      <w:bookmarkStart w:id="106" w:name="_Toc73848688"/>
      <w:bookmarkStart w:id="107" w:name="_Toc845335"/>
      <w:bookmarkStart w:id="108" w:name="_Toc73848835"/>
      <w:bookmarkStart w:id="109" w:name="_Toc399326515"/>
      <w:bookmarkStart w:id="110" w:name="_Toc399318771"/>
      <w:r>
        <w:rPr>
          <w:rFonts w:hint="eastAsia" w:asciiTheme="minorEastAsia" w:hAnsiTheme="minorEastAsia" w:eastAsiaTheme="minorEastAsia"/>
          <w:color w:val="auto"/>
          <w:sz w:val="24"/>
          <w:szCs w:val="24"/>
          <w:highlight w:val="none"/>
        </w:rPr>
        <w:t>7.2.1配合工程设计的资料和图纸</w:t>
      </w:r>
    </w:p>
    <w:p w14:paraId="2656CE0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7.2.3随机提供的资料：</w:t>
      </w:r>
    </w:p>
    <w:p w14:paraId="260CD84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7.2.3.1供货清单、易损件清单、备品备件表、装箱清单；</w:t>
      </w:r>
    </w:p>
    <w:p w14:paraId="479CE2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7.2.3.2随设备按常规向招标人提供的设备图纸及安装使用说明书。</w:t>
      </w:r>
    </w:p>
    <w:p w14:paraId="0D159CF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7.2.3.3随设备提供产品质量合格证明书；</w:t>
      </w:r>
    </w:p>
    <w:p w14:paraId="7D4B2F2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7.2.3.4随设备提供产品性能试验报告；</w:t>
      </w:r>
    </w:p>
    <w:p w14:paraId="616D61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7.2.4设备监造检查所需要的技术资料</w:t>
      </w:r>
    </w:p>
    <w:p w14:paraId="092B69AB">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投标人提供满足合同设备监造检查/见证所需要的全部技术资料。</w:t>
      </w:r>
    </w:p>
    <w:p w14:paraId="7B7BE3F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7.2.5施工、调试、试运、机组性能试验和运行维护所需的技术资料，包括但不限于：</w:t>
      </w:r>
    </w:p>
    <w:p w14:paraId="6725628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7.2.5.1提供设备安装、运行、调试和试运说明书，以及组装、拆卸时所需用的技术资料。</w:t>
      </w:r>
    </w:p>
    <w:p w14:paraId="7BA6FBC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7.2.5.2安装、运行、维护、检修所需的详尽图纸和技术资料（包括设备总图、部件总图、计算资料等）。</w:t>
      </w:r>
    </w:p>
    <w:p w14:paraId="19C06D5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7.2.5.3设备安装、运行、维护、检修说明书（包括设备结构特点、安装程序和工艺要求、启动调试要领、运行操作规定和控制数据、定期校验和维护说明等）。</w:t>
      </w:r>
    </w:p>
    <w:p w14:paraId="5127D3A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7.2.5.4投标人提供备品、配件清单。</w:t>
      </w:r>
    </w:p>
    <w:p w14:paraId="2042D01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7.2.6投标人提供的其它技术资料，包括但不限于：</w:t>
      </w:r>
    </w:p>
    <w:p w14:paraId="63384E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7.2.6.1检查记录、试验报告及质量合格证等出厂报告。</w:t>
      </w:r>
    </w:p>
    <w:p w14:paraId="624E472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7.2.6.2投标人提供在设计、制造时所遵循的规范、标准和规定清单。</w:t>
      </w:r>
    </w:p>
    <w:p w14:paraId="3104B40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7.2.6.3设备和备品管理资料文件（包括设备和备品发运和装箱的详细资料，设备和备品存放与保管技术要求，运输超重、超大件的明细表和外形图）。</w:t>
      </w:r>
    </w:p>
    <w:p w14:paraId="56C878F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7.2.6.4详细的产品质量文件，包括材质、材质检验、焊接、热处理、加工质量、外形尺寸、水压试验和性能试验等的证明。</w:t>
      </w:r>
      <w:r>
        <w:rPr>
          <w:rFonts w:asciiTheme="minorEastAsia" w:hAnsiTheme="minorEastAsia" w:eastAsiaTheme="minorEastAsia"/>
          <w:color w:val="auto"/>
          <w:sz w:val="24"/>
          <w:szCs w:val="24"/>
          <w:highlight w:val="none"/>
        </w:rPr>
        <w:br w:type="page"/>
      </w:r>
    </w:p>
    <w:bookmarkEnd w:id="105"/>
    <w:bookmarkEnd w:id="106"/>
    <w:bookmarkEnd w:id="107"/>
    <w:bookmarkEnd w:id="108"/>
    <w:bookmarkEnd w:id="109"/>
    <w:bookmarkEnd w:id="110"/>
    <w:p w14:paraId="6652F35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8监造、检验和性能验收试验</w:t>
      </w:r>
    </w:p>
    <w:p w14:paraId="634110F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bookmarkStart w:id="111" w:name="OLE_LINK48"/>
      <w:r>
        <w:rPr>
          <w:rFonts w:hint="eastAsia" w:cs="仿宋" w:asciiTheme="minorEastAsia" w:hAnsiTheme="minorEastAsia" w:eastAsiaTheme="minorEastAsia"/>
          <w:bCs/>
          <w:color w:val="auto"/>
          <w:kern w:val="2"/>
          <w:sz w:val="24"/>
          <w:szCs w:val="24"/>
          <w:highlight w:val="none"/>
          <w:lang w:val="zh-CN"/>
        </w:rPr>
        <w:t>8.</w:t>
      </w:r>
      <w:bookmarkEnd w:id="111"/>
      <w:r>
        <w:rPr>
          <w:rFonts w:hint="eastAsia" w:cs="仿宋" w:asciiTheme="minorEastAsia" w:hAnsiTheme="minorEastAsia" w:eastAsiaTheme="minorEastAsia"/>
          <w:bCs/>
          <w:color w:val="auto"/>
          <w:kern w:val="2"/>
          <w:sz w:val="24"/>
          <w:szCs w:val="24"/>
          <w:highlight w:val="none"/>
          <w:lang w:val="zh-CN"/>
        </w:rPr>
        <w:t>1</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概述</w:t>
      </w:r>
    </w:p>
    <w:p w14:paraId="7A4DC1CE">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8.1.1  本章用于合同执行期间对投标方所提供的设备（包括对分包外购设备）进行检验、监造和性能验收试验，确保投标方所提供的设备符合</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规定的要求。</w:t>
      </w:r>
    </w:p>
    <w:p w14:paraId="7C05C8C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8.1.2  投标方应在本合同生效后3个月内，向招标方提供与本合同设备有关的监造、检验、性能验收试验标准。有关标准应符合</w:t>
      </w:r>
      <w:bookmarkStart w:id="112" w:name="OLE_LINK63"/>
      <w:bookmarkStart w:id="113" w:name="OLE_LINK62"/>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bookmarkEnd w:id="112"/>
      <w:bookmarkEnd w:id="113"/>
      <w:r>
        <w:rPr>
          <w:rFonts w:hint="eastAsia" w:cs="仿宋" w:asciiTheme="minorEastAsia" w:hAnsiTheme="minorEastAsia" w:eastAsiaTheme="minorEastAsia"/>
          <w:bCs/>
          <w:color w:val="auto"/>
          <w:kern w:val="2"/>
          <w:sz w:val="24"/>
          <w:szCs w:val="24"/>
          <w:highlight w:val="none"/>
          <w:lang w:val="zh-CN"/>
        </w:rPr>
        <w:t>的规定。</w:t>
      </w:r>
    </w:p>
    <w:p w14:paraId="501906A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工厂检验</w:t>
      </w:r>
    </w:p>
    <w:p w14:paraId="17A180CB">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8.2.1  工厂检验是质量控制的一个重要组成部分。投标方须严格进行厂内各生产环节的检验和试验。投标方提供的合同设备须签发质量证明、检验记录和测试报告，并且作为交货时质量证明文件的组成部分。</w:t>
      </w:r>
    </w:p>
    <w:p w14:paraId="6D4141D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8.2.2  检验的范围包括原材料和元器件的进厂，部件的加工、组装、试验至出厂试验。</w:t>
      </w:r>
    </w:p>
    <w:p w14:paraId="7B1D3672">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8.2.3  投标方检验的结果要满足”4 技术规范”的要求，如有不符之处或达不到标准要求，投标方要采取措施处理直至满足要求，同时向招标方提交不一致性报告。投标方发生重大质量问题时应将情况及时通知招标方。  </w:t>
      </w:r>
    </w:p>
    <w:p w14:paraId="6BF78776">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8.2.4  工厂检验的所有费用包括在合同总价之中。</w:t>
      </w:r>
    </w:p>
    <w:p w14:paraId="0F952A5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设备监造</w:t>
      </w:r>
    </w:p>
    <w:p w14:paraId="695C5D0D">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8.3.1  监造依据</w:t>
      </w:r>
    </w:p>
    <w:p w14:paraId="11DC4966">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    根据本合同和原电力工业部、机械工业部有关文件的规定，以及国家有关规定。</w:t>
      </w:r>
    </w:p>
    <w:p w14:paraId="51B17D3B">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8.3.2  监造方式</w:t>
      </w:r>
    </w:p>
    <w:p w14:paraId="46402BFA">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    文件见证、现场见证和停工待检，即 R点、W点、H点。每次监造内容完成后，投标方和监造代表均须在见证表上履行签字手续。投标人复印3份，交监造代表1份。</w:t>
      </w:r>
    </w:p>
    <w:p w14:paraId="12608BA8">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bookmarkStart w:id="114" w:name="OLE_LINK51"/>
      <w:bookmarkStart w:id="115" w:name="OLE_LINK52"/>
      <w:r>
        <w:rPr>
          <w:rFonts w:hint="eastAsia" w:cs="仿宋" w:asciiTheme="minorEastAsia" w:hAnsiTheme="minorEastAsia" w:eastAsiaTheme="minorEastAsia"/>
          <w:bCs/>
          <w:color w:val="auto"/>
          <w:kern w:val="2"/>
          <w:sz w:val="24"/>
          <w:szCs w:val="24"/>
          <w:highlight w:val="none"/>
          <w:lang w:val="zh-CN"/>
        </w:rPr>
        <w:t>8.</w:t>
      </w:r>
      <w:bookmarkEnd w:id="114"/>
      <w:bookmarkEnd w:id="115"/>
      <w:r>
        <w:rPr>
          <w:rFonts w:hint="eastAsia" w:cs="仿宋" w:asciiTheme="minorEastAsia" w:hAnsiTheme="minorEastAsia" w:eastAsiaTheme="minorEastAsia"/>
          <w:bCs/>
          <w:color w:val="auto"/>
          <w:kern w:val="2"/>
          <w:sz w:val="24"/>
          <w:szCs w:val="24"/>
          <w:highlight w:val="none"/>
          <w:lang w:val="zh-CN"/>
        </w:rPr>
        <w:t>3.3监造内容</w:t>
      </w:r>
    </w:p>
    <w:p w14:paraId="3349664C">
      <w:pPr>
        <w:spacing w:line="360" w:lineRule="auto"/>
        <w:ind w:left="42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具体内容和监造方式由招投标双方确定。</w:t>
      </w:r>
    </w:p>
    <w:p w14:paraId="536F5138">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监造项目及方式（投标方投标时填写）</w:t>
      </w:r>
    </w:p>
    <w:tbl>
      <w:tblPr>
        <w:tblStyle w:val="58"/>
        <w:tblW w:w="8695" w:type="dxa"/>
        <w:tblInd w:w="-20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05"/>
        <w:gridCol w:w="4465"/>
        <w:gridCol w:w="705"/>
        <w:gridCol w:w="705"/>
        <w:gridCol w:w="705"/>
        <w:gridCol w:w="1410"/>
      </w:tblGrid>
      <w:tr w14:paraId="0B076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blHeader/>
        </w:trPr>
        <w:tc>
          <w:tcPr>
            <w:tcW w:w="705" w:type="dxa"/>
            <w:tcBorders>
              <w:top w:val="single" w:color="auto" w:sz="12" w:space="0"/>
              <w:left w:val="single" w:color="auto" w:sz="12" w:space="0"/>
              <w:bottom w:val="nil"/>
            </w:tcBorders>
          </w:tcPr>
          <w:p w14:paraId="16D1A84E">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w:t>
            </w:r>
          </w:p>
        </w:tc>
        <w:tc>
          <w:tcPr>
            <w:tcW w:w="4465" w:type="dxa"/>
            <w:tcBorders>
              <w:top w:val="single" w:color="auto" w:sz="12" w:space="0"/>
              <w:bottom w:val="nil"/>
            </w:tcBorders>
          </w:tcPr>
          <w:p w14:paraId="183B29D0">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目</w:t>
            </w:r>
          </w:p>
        </w:tc>
        <w:tc>
          <w:tcPr>
            <w:tcW w:w="2115" w:type="dxa"/>
            <w:gridSpan w:val="3"/>
            <w:tcBorders>
              <w:top w:val="single" w:color="auto" w:sz="12" w:space="0"/>
              <w:bottom w:val="nil"/>
            </w:tcBorders>
          </w:tcPr>
          <w:p w14:paraId="37478230">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监</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方</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式</w:t>
            </w:r>
          </w:p>
        </w:tc>
        <w:tc>
          <w:tcPr>
            <w:tcW w:w="1410" w:type="dxa"/>
            <w:tcBorders>
              <w:top w:val="single" w:color="auto" w:sz="12" w:space="0"/>
              <w:bottom w:val="nil"/>
              <w:right w:val="single" w:color="auto" w:sz="12" w:space="0"/>
            </w:tcBorders>
          </w:tcPr>
          <w:p w14:paraId="131C2F63">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w:t>
            </w:r>
          </w:p>
        </w:tc>
      </w:tr>
      <w:tr w14:paraId="2A8F4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trPr>
        <w:tc>
          <w:tcPr>
            <w:tcW w:w="705" w:type="dxa"/>
            <w:tcBorders>
              <w:top w:val="nil"/>
              <w:left w:val="single" w:color="auto" w:sz="12" w:space="0"/>
            </w:tcBorders>
          </w:tcPr>
          <w:p w14:paraId="45ED6E9E">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号</w:t>
            </w:r>
          </w:p>
        </w:tc>
        <w:tc>
          <w:tcPr>
            <w:tcW w:w="4465" w:type="dxa"/>
            <w:tcBorders>
              <w:top w:val="nil"/>
            </w:tcBorders>
          </w:tcPr>
          <w:p w14:paraId="368553DA">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内</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容</w:t>
            </w:r>
          </w:p>
        </w:tc>
        <w:tc>
          <w:tcPr>
            <w:tcW w:w="705" w:type="dxa"/>
          </w:tcPr>
          <w:p w14:paraId="45D8E50A">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H</w:t>
            </w:r>
          </w:p>
        </w:tc>
        <w:tc>
          <w:tcPr>
            <w:tcW w:w="705" w:type="dxa"/>
          </w:tcPr>
          <w:p w14:paraId="5645DF2D">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W</w:t>
            </w:r>
          </w:p>
        </w:tc>
        <w:tc>
          <w:tcPr>
            <w:tcW w:w="705" w:type="dxa"/>
          </w:tcPr>
          <w:p w14:paraId="3B30C2F8">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R</w:t>
            </w:r>
          </w:p>
        </w:tc>
        <w:tc>
          <w:tcPr>
            <w:tcW w:w="1410" w:type="dxa"/>
            <w:tcBorders>
              <w:top w:val="nil"/>
              <w:right w:val="single" w:color="auto" w:sz="12" w:space="0"/>
            </w:tcBorders>
          </w:tcPr>
          <w:p w14:paraId="33567476">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w:t>
            </w:r>
          </w:p>
        </w:tc>
      </w:tr>
      <w:tr w14:paraId="04777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5420C21E">
            <w:pPr>
              <w:spacing w:line="360" w:lineRule="auto"/>
              <w:rPr>
                <w:rFonts w:asciiTheme="minorEastAsia" w:hAnsiTheme="minorEastAsia" w:eastAsiaTheme="minorEastAsia"/>
                <w:color w:val="auto"/>
                <w:sz w:val="24"/>
                <w:szCs w:val="24"/>
                <w:highlight w:val="none"/>
              </w:rPr>
            </w:pPr>
          </w:p>
        </w:tc>
        <w:tc>
          <w:tcPr>
            <w:tcW w:w="4465" w:type="dxa"/>
          </w:tcPr>
          <w:p w14:paraId="25F6D538">
            <w:pPr>
              <w:spacing w:line="360" w:lineRule="auto"/>
              <w:rPr>
                <w:rFonts w:asciiTheme="minorEastAsia" w:hAnsiTheme="minorEastAsia" w:eastAsiaTheme="minorEastAsia"/>
                <w:color w:val="auto"/>
                <w:sz w:val="24"/>
                <w:szCs w:val="24"/>
                <w:highlight w:val="none"/>
              </w:rPr>
            </w:pPr>
          </w:p>
        </w:tc>
        <w:tc>
          <w:tcPr>
            <w:tcW w:w="705" w:type="dxa"/>
          </w:tcPr>
          <w:p w14:paraId="208A4DC7">
            <w:pPr>
              <w:spacing w:line="360" w:lineRule="auto"/>
              <w:rPr>
                <w:rFonts w:asciiTheme="minorEastAsia" w:hAnsiTheme="minorEastAsia" w:eastAsiaTheme="minorEastAsia"/>
                <w:color w:val="auto"/>
                <w:sz w:val="24"/>
                <w:szCs w:val="24"/>
                <w:highlight w:val="none"/>
              </w:rPr>
            </w:pPr>
          </w:p>
        </w:tc>
        <w:tc>
          <w:tcPr>
            <w:tcW w:w="705" w:type="dxa"/>
          </w:tcPr>
          <w:p w14:paraId="67E7043E">
            <w:pPr>
              <w:spacing w:line="360" w:lineRule="auto"/>
              <w:rPr>
                <w:rFonts w:asciiTheme="minorEastAsia" w:hAnsiTheme="minorEastAsia" w:eastAsiaTheme="minorEastAsia"/>
                <w:color w:val="auto"/>
                <w:sz w:val="24"/>
                <w:szCs w:val="24"/>
                <w:highlight w:val="none"/>
              </w:rPr>
            </w:pPr>
          </w:p>
        </w:tc>
        <w:tc>
          <w:tcPr>
            <w:tcW w:w="705" w:type="dxa"/>
          </w:tcPr>
          <w:p w14:paraId="478CA8B9">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7AC3CFAE">
            <w:pPr>
              <w:spacing w:line="360" w:lineRule="auto"/>
              <w:rPr>
                <w:rFonts w:asciiTheme="minorEastAsia" w:hAnsiTheme="minorEastAsia" w:eastAsiaTheme="minorEastAsia"/>
                <w:color w:val="auto"/>
                <w:sz w:val="24"/>
                <w:szCs w:val="24"/>
                <w:highlight w:val="none"/>
              </w:rPr>
            </w:pPr>
          </w:p>
        </w:tc>
      </w:tr>
      <w:tr w14:paraId="745E8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01672CAF">
            <w:pPr>
              <w:spacing w:line="360" w:lineRule="auto"/>
              <w:rPr>
                <w:rFonts w:asciiTheme="minorEastAsia" w:hAnsiTheme="minorEastAsia" w:eastAsiaTheme="minorEastAsia"/>
                <w:color w:val="auto"/>
                <w:sz w:val="24"/>
                <w:szCs w:val="24"/>
                <w:highlight w:val="none"/>
              </w:rPr>
            </w:pPr>
          </w:p>
        </w:tc>
        <w:tc>
          <w:tcPr>
            <w:tcW w:w="4465" w:type="dxa"/>
          </w:tcPr>
          <w:p w14:paraId="5AEE0F2E">
            <w:pPr>
              <w:spacing w:line="360" w:lineRule="auto"/>
              <w:rPr>
                <w:rFonts w:asciiTheme="minorEastAsia" w:hAnsiTheme="minorEastAsia" w:eastAsiaTheme="minorEastAsia"/>
                <w:color w:val="auto"/>
                <w:sz w:val="24"/>
                <w:szCs w:val="24"/>
                <w:highlight w:val="none"/>
              </w:rPr>
            </w:pPr>
          </w:p>
        </w:tc>
        <w:tc>
          <w:tcPr>
            <w:tcW w:w="705" w:type="dxa"/>
          </w:tcPr>
          <w:p w14:paraId="7943F526">
            <w:pPr>
              <w:spacing w:line="360" w:lineRule="auto"/>
              <w:rPr>
                <w:rFonts w:asciiTheme="minorEastAsia" w:hAnsiTheme="minorEastAsia" w:eastAsiaTheme="minorEastAsia"/>
                <w:color w:val="auto"/>
                <w:sz w:val="24"/>
                <w:szCs w:val="24"/>
                <w:highlight w:val="none"/>
              </w:rPr>
            </w:pPr>
          </w:p>
        </w:tc>
        <w:tc>
          <w:tcPr>
            <w:tcW w:w="705" w:type="dxa"/>
          </w:tcPr>
          <w:p w14:paraId="54ECF8CA">
            <w:pPr>
              <w:spacing w:line="360" w:lineRule="auto"/>
              <w:rPr>
                <w:rFonts w:asciiTheme="minorEastAsia" w:hAnsiTheme="minorEastAsia" w:eastAsiaTheme="minorEastAsia"/>
                <w:color w:val="auto"/>
                <w:sz w:val="24"/>
                <w:szCs w:val="24"/>
                <w:highlight w:val="none"/>
              </w:rPr>
            </w:pPr>
          </w:p>
        </w:tc>
        <w:tc>
          <w:tcPr>
            <w:tcW w:w="705" w:type="dxa"/>
          </w:tcPr>
          <w:p w14:paraId="1473512A">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727BD8C9">
            <w:pPr>
              <w:spacing w:line="360" w:lineRule="auto"/>
              <w:rPr>
                <w:rFonts w:asciiTheme="minorEastAsia" w:hAnsiTheme="minorEastAsia" w:eastAsiaTheme="minorEastAsia"/>
                <w:color w:val="auto"/>
                <w:sz w:val="24"/>
                <w:szCs w:val="24"/>
                <w:highlight w:val="none"/>
              </w:rPr>
            </w:pPr>
          </w:p>
        </w:tc>
      </w:tr>
      <w:tr w14:paraId="36589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6FD81892">
            <w:pPr>
              <w:spacing w:line="360" w:lineRule="auto"/>
              <w:rPr>
                <w:rFonts w:asciiTheme="minorEastAsia" w:hAnsiTheme="minorEastAsia" w:eastAsiaTheme="minorEastAsia"/>
                <w:color w:val="auto"/>
                <w:sz w:val="24"/>
                <w:szCs w:val="24"/>
                <w:highlight w:val="none"/>
              </w:rPr>
            </w:pPr>
          </w:p>
        </w:tc>
        <w:tc>
          <w:tcPr>
            <w:tcW w:w="4465" w:type="dxa"/>
          </w:tcPr>
          <w:p w14:paraId="0366990C">
            <w:pPr>
              <w:spacing w:line="360" w:lineRule="auto"/>
              <w:rPr>
                <w:rFonts w:asciiTheme="minorEastAsia" w:hAnsiTheme="minorEastAsia" w:eastAsiaTheme="minorEastAsia"/>
                <w:color w:val="auto"/>
                <w:sz w:val="24"/>
                <w:szCs w:val="24"/>
                <w:highlight w:val="none"/>
              </w:rPr>
            </w:pPr>
          </w:p>
        </w:tc>
        <w:tc>
          <w:tcPr>
            <w:tcW w:w="705" w:type="dxa"/>
          </w:tcPr>
          <w:p w14:paraId="28511E53">
            <w:pPr>
              <w:spacing w:line="360" w:lineRule="auto"/>
              <w:rPr>
                <w:rFonts w:asciiTheme="minorEastAsia" w:hAnsiTheme="minorEastAsia" w:eastAsiaTheme="minorEastAsia"/>
                <w:color w:val="auto"/>
                <w:sz w:val="24"/>
                <w:szCs w:val="24"/>
                <w:highlight w:val="none"/>
              </w:rPr>
            </w:pPr>
          </w:p>
        </w:tc>
        <w:tc>
          <w:tcPr>
            <w:tcW w:w="705" w:type="dxa"/>
          </w:tcPr>
          <w:p w14:paraId="6FDE4EC9">
            <w:pPr>
              <w:spacing w:line="360" w:lineRule="auto"/>
              <w:rPr>
                <w:rFonts w:asciiTheme="minorEastAsia" w:hAnsiTheme="minorEastAsia" w:eastAsiaTheme="minorEastAsia"/>
                <w:color w:val="auto"/>
                <w:sz w:val="24"/>
                <w:szCs w:val="24"/>
                <w:highlight w:val="none"/>
              </w:rPr>
            </w:pPr>
          </w:p>
        </w:tc>
        <w:tc>
          <w:tcPr>
            <w:tcW w:w="705" w:type="dxa"/>
          </w:tcPr>
          <w:p w14:paraId="4E6C251B">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6E5DFEC3">
            <w:pPr>
              <w:spacing w:line="360" w:lineRule="auto"/>
              <w:rPr>
                <w:rFonts w:asciiTheme="minorEastAsia" w:hAnsiTheme="minorEastAsia" w:eastAsiaTheme="minorEastAsia"/>
                <w:color w:val="auto"/>
                <w:sz w:val="24"/>
                <w:szCs w:val="24"/>
                <w:highlight w:val="none"/>
              </w:rPr>
            </w:pPr>
          </w:p>
        </w:tc>
      </w:tr>
    </w:tbl>
    <w:p w14:paraId="74258DC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8.3.4  对投标方配合监造的要求：</w:t>
      </w:r>
    </w:p>
    <w:p w14:paraId="353A0C4A">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投标方为招标方提供以下方便：</w:t>
      </w:r>
    </w:p>
    <w:p w14:paraId="6558BD4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（1）提前10天将设备监造项目及检验时间通知招标方，监造项目和方式由招投标双方协商确定。</w:t>
      </w:r>
    </w:p>
    <w:p w14:paraId="59821EC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（2）招标方有权通过投标方有关部门查（借）阅合同及与本合同设备有关的标准、图纸、资料、工艺及检验记录（包括之间检验记录），如招标方认为有必要复印，投标方应提供方便。</w:t>
      </w:r>
    </w:p>
    <w:p w14:paraId="31359DA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3）招标方人员在监造过程中如发现设备和材料缺陷或不符合规定的标准要求时，招标方有权提出意见，投标方应采取相应改进措施，以保证设备质量。无论招标方是否要求和知道，投标方均应主动及时向招标方提供合同设备制造过程中出现的较大的质量缺陷和问题，不得隐瞒。在招标方不知道的情况下投标方不得擅自处理。</w:t>
      </w:r>
    </w:p>
    <w:p w14:paraId="55FF51A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性能验收试验</w:t>
      </w:r>
    </w:p>
    <w:p w14:paraId="3E91B73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8.4.1  性能验收试验目的为了检验合同设备的所有性能时否符合</w:t>
      </w:r>
      <w:bookmarkStart w:id="116" w:name="OLE_LINK59"/>
      <w:bookmarkStart w:id="117" w:name="OLE_LINK60"/>
      <w:bookmarkStart w:id="118" w:name="OLE_LINK61"/>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bookmarkEnd w:id="116"/>
      <w:bookmarkEnd w:id="117"/>
      <w:bookmarkEnd w:id="118"/>
      <w:r>
        <w:rPr>
          <w:rFonts w:hint="eastAsia" w:cs="仿宋" w:asciiTheme="minorEastAsia" w:hAnsiTheme="minorEastAsia" w:eastAsiaTheme="minorEastAsia"/>
          <w:bCs/>
          <w:color w:val="auto"/>
          <w:kern w:val="2"/>
          <w:sz w:val="24"/>
          <w:szCs w:val="24"/>
          <w:highlight w:val="none"/>
          <w:lang w:val="zh-CN"/>
        </w:rPr>
        <w:t>的要求。</w:t>
      </w:r>
    </w:p>
    <w:p w14:paraId="4822C322">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8.4.2  性能验收试验的地点为招标方现场。</w:t>
      </w:r>
    </w:p>
    <w:p w14:paraId="21D663CC">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8.4.3  性能试验的时间：试验在系统正常运行168小时之后一个月内进行，具体试验时间由招标方商投标方确定。</w:t>
      </w:r>
    </w:p>
    <w:p w14:paraId="53D22820">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8.4.4投标方检验的结果要满足</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的要求，如有不符之处或达不到标准要求，投标方要采取措施处理直至满足要求，同时向招标方提交不一致性报告。投标方发生重大质量问题时应将情况及时通知招标方。</w:t>
      </w:r>
    </w:p>
    <w:p w14:paraId="37679750">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8.4.5设备到货后经标准仪器校验应达到</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要求的标准。</w:t>
      </w:r>
    </w:p>
    <w:p w14:paraId="15A7BA3C">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p>
    <w:p w14:paraId="6D12903C">
      <w:pPr>
        <w:keepNext/>
        <w:spacing w:before="140" w:after="140" w:line="360" w:lineRule="auto"/>
        <w:outlineLvl w:val="1"/>
        <w:rPr>
          <w:rFonts w:ascii="仿宋" w:hAnsi="仿宋" w:eastAsia="仿宋" w:cs="仿宋"/>
          <w:b/>
          <w:bCs/>
          <w:color w:val="auto"/>
          <w:kern w:val="2"/>
          <w:sz w:val="24"/>
          <w:szCs w:val="24"/>
          <w:highlight w:val="none"/>
        </w:rPr>
      </w:pPr>
      <w:bookmarkStart w:id="119" w:name="_Toc11250"/>
      <w:bookmarkStart w:id="120" w:name="_Toc4994"/>
      <w:bookmarkStart w:id="121" w:name="_Toc18388"/>
      <w:bookmarkStart w:id="122" w:name="_Toc523807133"/>
      <w:bookmarkStart w:id="123" w:name="_Toc293238361"/>
      <w:bookmarkStart w:id="124" w:name="_Toc523547855"/>
      <w:r>
        <w:rPr>
          <w:rFonts w:hint="eastAsia" w:ascii="仿宋" w:hAnsi="仿宋" w:eastAsia="仿宋" w:cs="仿宋"/>
          <w:b/>
          <w:bCs/>
          <w:color w:val="auto"/>
          <w:kern w:val="2"/>
          <w:sz w:val="24"/>
          <w:szCs w:val="24"/>
          <w:highlight w:val="none"/>
        </w:rPr>
        <w:t>9. 招标文件附图</w:t>
      </w:r>
      <w:bookmarkEnd w:id="119"/>
      <w:bookmarkEnd w:id="120"/>
      <w:bookmarkEnd w:id="121"/>
    </w:p>
    <w:bookmarkEnd w:id="122"/>
    <w:bookmarkEnd w:id="123"/>
    <w:bookmarkEnd w:id="124"/>
    <w:p w14:paraId="6D8F1AD5">
      <w:pPr>
        <w:keepNext/>
        <w:widowControl w:val="0"/>
        <w:spacing w:before="120" w:after="120" w:line="360" w:lineRule="auto"/>
        <w:outlineLvl w:val="2"/>
        <w:rPr>
          <w:rFonts w:ascii="仿宋" w:hAnsi="仿宋" w:eastAsia="仿宋" w:cs="仿宋"/>
          <w:color w:val="auto"/>
          <w:kern w:val="2"/>
          <w:highlight w:val="none"/>
        </w:rPr>
      </w:pPr>
      <w:bookmarkStart w:id="125" w:name="_Toc32037"/>
      <w:bookmarkStart w:id="126" w:name="_Toc689"/>
      <w:r>
        <w:rPr>
          <w:rFonts w:hint="eastAsia" w:ascii="仿宋" w:hAnsi="仿宋" w:eastAsia="仿宋" w:cs="仿宋"/>
          <w:color w:val="auto"/>
          <w:kern w:val="2"/>
          <w:highlight w:val="none"/>
        </w:rPr>
        <w:t>9.1 壁温测点布置现状图（招标文件附图一）</w:t>
      </w:r>
      <w:bookmarkEnd w:id="125"/>
      <w:bookmarkEnd w:id="126"/>
    </w:p>
    <w:p w14:paraId="29C3DCD7">
      <w:pPr>
        <w:keepNext/>
        <w:widowControl w:val="0"/>
        <w:spacing w:before="120" w:after="120" w:line="360" w:lineRule="auto"/>
        <w:outlineLvl w:val="2"/>
        <w:rPr>
          <w:rFonts w:ascii="仿宋" w:hAnsi="仿宋" w:eastAsia="仿宋" w:cs="仿宋"/>
          <w:color w:val="auto"/>
          <w:kern w:val="2"/>
          <w:highlight w:val="none"/>
        </w:rPr>
      </w:pPr>
      <w:bookmarkStart w:id="127" w:name="_Toc11666"/>
      <w:bookmarkStart w:id="128" w:name="_Toc14549"/>
      <w:r>
        <w:rPr>
          <w:rFonts w:hint="eastAsia" w:ascii="仿宋" w:hAnsi="仿宋" w:eastAsia="仿宋" w:cs="仿宋"/>
          <w:color w:val="auto"/>
          <w:kern w:val="2"/>
          <w:highlight w:val="none"/>
        </w:rPr>
        <w:t xml:space="preserve">9.2 </w:t>
      </w:r>
      <w:bookmarkStart w:id="129" w:name="OLE_LINK68"/>
      <w:bookmarkStart w:id="130" w:name="OLE_LINK69"/>
      <w:r>
        <w:rPr>
          <w:rFonts w:hint="eastAsia" w:ascii="仿宋" w:hAnsi="仿宋" w:eastAsia="仿宋" w:cs="仿宋"/>
          <w:color w:val="auto"/>
          <w:kern w:val="2"/>
          <w:highlight w:val="none"/>
        </w:rPr>
        <w:t>壁温系统升级改造</w:t>
      </w:r>
      <w:bookmarkEnd w:id="129"/>
      <w:bookmarkEnd w:id="130"/>
      <w:r>
        <w:rPr>
          <w:rFonts w:hint="eastAsia" w:ascii="仿宋" w:hAnsi="仿宋" w:eastAsia="仿宋" w:cs="仿宋"/>
          <w:color w:val="auto"/>
          <w:kern w:val="2"/>
          <w:highlight w:val="none"/>
        </w:rPr>
        <w:t>布置图（招标文件附图二）</w:t>
      </w:r>
      <w:bookmarkEnd w:id="127"/>
      <w:bookmarkEnd w:id="128"/>
    </w:p>
    <w:p w14:paraId="6A7D6A34">
      <w:pPr>
        <w:spacing w:after="120" w:afterLines="50" w:line="480" w:lineRule="auto"/>
        <w:jc w:val="both"/>
        <w:rPr>
          <w:rFonts w:ascii="Arial" w:eastAsia="黑体" w:cs="Arial"/>
          <w:bCs/>
          <w:sz w:val="44"/>
          <w:szCs w:val="21"/>
        </w:rPr>
      </w:pPr>
    </w:p>
    <w:sectPr>
      <w:headerReference r:id="rId7" w:type="default"/>
      <w:footerReference r:id="rId8"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Arial Narrow">
    <w:panose1 w:val="020B0606020202030204"/>
    <w:charset w:val="00"/>
    <w:family w:val="swiss"/>
    <w:pitch w:val="default"/>
    <w:sig w:usb0="00000287" w:usb1="00000800" w:usb2="00000000" w:usb3="00000000" w:csb0="2000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D3BF">
    <w:pPr>
      <w:pStyle w:val="36"/>
      <w:framePr w:wrap="around" w:vAnchor="text" w:hAnchor="margin" w:xAlign="center" w:y="1"/>
      <w:tabs>
        <w:tab w:val="center" w:pos="4819"/>
        <w:tab w:val="right" w:pos="9071"/>
        <w:tab w:val="clear" w:pos="4153"/>
        <w:tab w:val="clear" w:pos="8306"/>
      </w:tabs>
      <w:rPr>
        <w:rStyle w:val="62"/>
      </w:rPr>
    </w:pPr>
    <w:r>
      <w:fldChar w:fldCharType="begin"/>
    </w:r>
    <w:r>
      <w:rPr>
        <w:rStyle w:val="62"/>
      </w:rPr>
      <w:instrText xml:space="preserve">PAGE  </w:instrText>
    </w:r>
    <w:r>
      <w:fldChar w:fldCharType="separate"/>
    </w:r>
    <w:r>
      <w:rPr>
        <w:rStyle w:val="62"/>
      </w:rPr>
      <w:t>22</w:t>
    </w:r>
    <w:r>
      <w:fldChar w:fldCharType="end"/>
    </w:r>
  </w:p>
  <w:p w14:paraId="7F86D1C2">
    <w:pPr>
      <w:pStyle w:val="36"/>
      <w:pBdr>
        <w:top w:val="single" w:color="auto" w:sz="4" w:space="1"/>
      </w:pBdr>
      <w:tabs>
        <w:tab w:val="center" w:pos="4819"/>
        <w:tab w:val="right" w:pos="9071"/>
        <w:tab w:val="clear" w:pos="4153"/>
        <w:tab w:val="clear" w:pos="8306"/>
      </w:tabs>
      <w:ind w:right="360"/>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8887A">
    <w:pPr>
      <w:pStyle w:val="36"/>
      <w:framePr w:wrap="around" w:vAnchor="text" w:hAnchor="margin" w:xAlign="center" w:y="1"/>
      <w:tabs>
        <w:tab w:val="center" w:pos="4819"/>
        <w:tab w:val="right" w:pos="9071"/>
        <w:tab w:val="clear" w:pos="4153"/>
        <w:tab w:val="clear" w:pos="8306"/>
      </w:tabs>
      <w:rPr>
        <w:rStyle w:val="62"/>
      </w:rPr>
    </w:pPr>
    <w:r>
      <w:fldChar w:fldCharType="begin"/>
    </w:r>
    <w:r>
      <w:rPr>
        <w:rStyle w:val="62"/>
      </w:rPr>
      <w:instrText xml:space="preserve">PAGE  </w:instrText>
    </w:r>
    <w:r>
      <w:fldChar w:fldCharType="end"/>
    </w:r>
  </w:p>
  <w:p w14:paraId="49DF08F1">
    <w:pPr>
      <w:pStyle w:val="36"/>
      <w:tabs>
        <w:tab w:val="center" w:pos="4819"/>
        <w:tab w:val="right" w:pos="9071"/>
        <w:tab w:val="clear" w:pos="4153"/>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06FC">
    <w:pPr>
      <w:pStyle w:val="36"/>
      <w:tabs>
        <w:tab w:val="center" w:pos="4819"/>
        <w:tab w:val="right" w:pos="9071"/>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6"/>
          <w:jc w:val="center"/>
        </w:pPr>
        <w:r>
          <w:fldChar w:fldCharType="begin"/>
        </w:r>
        <w:r>
          <w:instrText xml:space="preserve">PAGE   \* MERGEFORMAT</w:instrText>
        </w:r>
        <w:r>
          <w:fldChar w:fldCharType="separate"/>
        </w:r>
        <w:r>
          <w:rPr>
            <w:lang w:val="zh-CN"/>
          </w:rPr>
          <w:t>2</w:t>
        </w:r>
        <w:r>
          <w:fldChar w:fldCharType="end"/>
        </w:r>
      </w:p>
    </w:sdtContent>
  </w:sdt>
  <w:p w14:paraId="3A0499D4">
    <w:pPr>
      <w:pStyle w:val="36"/>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A28D1">
    <w:pPr>
      <w:pStyle w:val="3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4">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5"/>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pStyle w:val="7"/>
      <w:lvlText w:val="%5)"/>
      <w:lvlJc w:val="left"/>
      <w:pPr>
        <w:ind w:left="2100" w:hanging="420"/>
      </w:pPr>
    </w:lvl>
    <w:lvl w:ilvl="5" w:tentative="0">
      <w:start w:val="1"/>
      <w:numFmt w:val="lowerRoman"/>
      <w:pStyle w:val="8"/>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5">
    <w:nsid w:val="7ABF536F"/>
    <w:multiLevelType w:val="singleLevel"/>
    <w:tmpl w:val="7ABF536F"/>
    <w:lvl w:ilvl="0" w:tentative="0">
      <w:start w:val="1"/>
      <w:numFmt w:val="decimal"/>
      <w:pStyle w:val="41"/>
      <w:lvlText w:val="%1."/>
      <w:lvlJc w:val="left"/>
      <w:pPr>
        <w:tabs>
          <w:tab w:val="left" w:pos="2040"/>
        </w:tabs>
        <w:ind w:left="2040" w:hanging="360"/>
      </w:pPr>
    </w:lvl>
  </w:abstractNum>
  <w:abstractNum w:abstractNumId="6">
    <w:nsid w:val="7DC1377D"/>
    <w:multiLevelType w:val="multilevel"/>
    <w:tmpl w:val="7DC1377D"/>
    <w:lvl w:ilvl="0" w:tentative="0">
      <w:start w:val="2"/>
      <w:numFmt w:val="decimal"/>
      <w:lvlText w:val="%1"/>
      <w:lvlJc w:val="left"/>
      <w:pPr>
        <w:ind w:left="430" w:hanging="430"/>
      </w:pPr>
      <w:rPr>
        <w:rFonts w:hint="default" w:cs="Arial"/>
      </w:rPr>
    </w:lvl>
    <w:lvl w:ilvl="1" w:tentative="0">
      <w:start w:val="2"/>
      <w:numFmt w:val="decimal"/>
      <w:lvlText w:val="%1.%2"/>
      <w:lvlJc w:val="left"/>
      <w:pPr>
        <w:ind w:left="430" w:hanging="430"/>
      </w:pPr>
      <w:rPr>
        <w:rFonts w:hint="default" w:cs="Arial"/>
      </w:rPr>
    </w:lvl>
    <w:lvl w:ilvl="2" w:tentative="0">
      <w:start w:val="1"/>
      <w:numFmt w:val="decimal"/>
      <w:lvlText w:val="%1.%2.%3"/>
      <w:lvlJc w:val="left"/>
      <w:pPr>
        <w:ind w:left="720" w:hanging="720"/>
      </w:pPr>
      <w:rPr>
        <w:rFonts w:hint="default" w:cs="Arial"/>
      </w:rPr>
    </w:lvl>
    <w:lvl w:ilvl="3" w:tentative="0">
      <w:start w:val="1"/>
      <w:numFmt w:val="decimal"/>
      <w:lvlText w:val="%1.%2.%3.%4"/>
      <w:lvlJc w:val="left"/>
      <w:pPr>
        <w:ind w:left="1080" w:hanging="1080"/>
      </w:pPr>
      <w:rPr>
        <w:rFonts w:hint="default" w:cs="Arial"/>
      </w:rPr>
    </w:lvl>
    <w:lvl w:ilvl="4" w:tentative="0">
      <w:start w:val="1"/>
      <w:numFmt w:val="decimal"/>
      <w:lvlText w:val="%1.%2.%3.%4.%5"/>
      <w:lvlJc w:val="left"/>
      <w:pPr>
        <w:ind w:left="1080" w:hanging="1080"/>
      </w:pPr>
      <w:rPr>
        <w:rFonts w:hint="default" w:cs="Arial"/>
      </w:rPr>
    </w:lvl>
    <w:lvl w:ilvl="5" w:tentative="0">
      <w:start w:val="1"/>
      <w:numFmt w:val="decimal"/>
      <w:lvlText w:val="%1.%2.%3.%4.%5.%6"/>
      <w:lvlJc w:val="left"/>
      <w:pPr>
        <w:ind w:left="1440" w:hanging="1440"/>
      </w:pPr>
      <w:rPr>
        <w:rFonts w:hint="default" w:cs="Arial"/>
      </w:rPr>
    </w:lvl>
    <w:lvl w:ilvl="6" w:tentative="0">
      <w:start w:val="1"/>
      <w:numFmt w:val="decimal"/>
      <w:lvlText w:val="%1.%2.%3.%4.%5.%6.%7"/>
      <w:lvlJc w:val="left"/>
      <w:pPr>
        <w:ind w:left="1440" w:hanging="1440"/>
      </w:pPr>
      <w:rPr>
        <w:rFonts w:hint="default" w:cs="Arial"/>
      </w:rPr>
    </w:lvl>
    <w:lvl w:ilvl="7" w:tentative="0">
      <w:start w:val="1"/>
      <w:numFmt w:val="decimal"/>
      <w:lvlText w:val="%1.%2.%3.%4.%5.%6.%7.%8"/>
      <w:lvlJc w:val="left"/>
      <w:pPr>
        <w:ind w:left="1800" w:hanging="1800"/>
      </w:pPr>
      <w:rPr>
        <w:rFonts w:hint="default" w:cs="Arial"/>
      </w:rPr>
    </w:lvl>
    <w:lvl w:ilvl="8" w:tentative="0">
      <w:start w:val="1"/>
      <w:numFmt w:val="decimal"/>
      <w:lvlText w:val="%1.%2.%3.%4.%5.%6.%7.%8.%9"/>
      <w:lvlJc w:val="left"/>
      <w:pPr>
        <w:ind w:left="1800" w:hanging="1800"/>
      </w:pPr>
      <w:rPr>
        <w:rFonts w:hint="default" w:cs="Arial"/>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D15BB4"/>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363E35"/>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25F5C"/>
    <w:rsid w:val="25695889"/>
    <w:rsid w:val="25E3191A"/>
    <w:rsid w:val="272A36B9"/>
    <w:rsid w:val="27574CC5"/>
    <w:rsid w:val="27A45BFA"/>
    <w:rsid w:val="29477193"/>
    <w:rsid w:val="298E65D5"/>
    <w:rsid w:val="29DA47EC"/>
    <w:rsid w:val="29E737F5"/>
    <w:rsid w:val="2A10603F"/>
    <w:rsid w:val="2AF16AE6"/>
    <w:rsid w:val="2B0A1F9E"/>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CD5D91"/>
    <w:rsid w:val="49DF19D1"/>
    <w:rsid w:val="4A110963"/>
    <w:rsid w:val="4A262C03"/>
    <w:rsid w:val="4A5D70EB"/>
    <w:rsid w:val="4AB045A7"/>
    <w:rsid w:val="4AC34F6C"/>
    <w:rsid w:val="4AF155C9"/>
    <w:rsid w:val="4B110071"/>
    <w:rsid w:val="4B553C62"/>
    <w:rsid w:val="4BE913F0"/>
    <w:rsid w:val="4C41382B"/>
    <w:rsid w:val="4C4232FC"/>
    <w:rsid w:val="4C5174C5"/>
    <w:rsid w:val="4CE17CD6"/>
    <w:rsid w:val="4CE52FAB"/>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360F26"/>
    <w:rsid w:val="53A75E29"/>
    <w:rsid w:val="53F420B3"/>
    <w:rsid w:val="54002F60"/>
    <w:rsid w:val="540E00C3"/>
    <w:rsid w:val="54180F5D"/>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094F53"/>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4"/>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6">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7">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8">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9">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10">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4">
    <w:name w:val="01 正文"/>
    <w:basedOn w:val="1"/>
    <w:qFormat/>
    <w:uiPriority w:val="0"/>
  </w:style>
  <w:style w:type="paragraph" w:styleId="12">
    <w:name w:val="List 3"/>
    <w:basedOn w:val="1"/>
    <w:qFormat/>
    <w:uiPriority w:val="0"/>
    <w:pPr>
      <w:ind w:left="1260" w:hanging="420"/>
    </w:pPr>
    <w:rPr>
      <w:kern w:val="0"/>
      <w:position w:val="-6"/>
      <w:sz w:val="24"/>
    </w:rPr>
  </w:style>
  <w:style w:type="paragraph" w:styleId="13">
    <w:name w:val="toc 7"/>
    <w:basedOn w:val="1"/>
    <w:next w:val="1"/>
    <w:qFormat/>
    <w:uiPriority w:val="0"/>
    <w:pPr>
      <w:ind w:left="2520" w:leftChars="1200"/>
    </w:pPr>
    <w:rPr>
      <w:szCs w:val="24"/>
    </w:rPr>
  </w:style>
  <w:style w:type="paragraph" w:styleId="14">
    <w:name w:val="List Number 2"/>
    <w:basedOn w:val="15"/>
    <w:qFormat/>
    <w:uiPriority w:val="0"/>
    <w:pPr>
      <w:ind w:left="720" w:hanging="720"/>
    </w:pPr>
  </w:style>
  <w:style w:type="paragraph" w:styleId="15">
    <w:name w:val="List Number"/>
    <w:basedOn w:val="16"/>
    <w:qFormat/>
    <w:uiPriority w:val="0"/>
    <w:pPr>
      <w:spacing w:after="220" w:line="220" w:lineRule="atLeast"/>
      <w:ind w:left="1800" w:right="720" w:hanging="360"/>
    </w:pPr>
    <w:rPr>
      <w:spacing w:val="-4"/>
    </w:rPr>
  </w:style>
  <w:style w:type="paragraph" w:styleId="16">
    <w:name w:val="List"/>
    <w:basedOn w:val="1"/>
    <w:qFormat/>
    <w:uiPriority w:val="0"/>
    <w:pPr>
      <w:ind w:left="420" w:hanging="420"/>
    </w:pPr>
    <w:rPr>
      <w:szCs w:val="24"/>
    </w:rPr>
  </w:style>
  <w:style w:type="paragraph" w:styleId="17">
    <w:name w:val="List Bullet 4"/>
    <w:basedOn w:val="1"/>
    <w:qFormat/>
    <w:uiPriority w:val="0"/>
    <w:pPr>
      <w:tabs>
        <w:tab w:val="left" w:pos="1620"/>
      </w:tabs>
      <w:ind w:left="420" w:hanging="420"/>
    </w:pPr>
    <w:rPr>
      <w:szCs w:val="24"/>
    </w:rPr>
  </w:style>
  <w:style w:type="paragraph" w:styleId="18">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9">
    <w:name w:val="caption"/>
    <w:basedOn w:val="1"/>
    <w:next w:val="1"/>
    <w:qFormat/>
    <w:uiPriority w:val="0"/>
    <w:rPr>
      <w:rFonts w:ascii="Arial" w:hAnsi="Arial" w:eastAsia="黑体" w:cs="Arial"/>
      <w:kern w:val="0"/>
      <w:position w:val="-6"/>
      <w:sz w:val="20"/>
    </w:rPr>
  </w:style>
  <w:style w:type="paragraph" w:styleId="20">
    <w:name w:val="Document Map"/>
    <w:basedOn w:val="1"/>
    <w:link w:val="91"/>
    <w:qFormat/>
    <w:uiPriority w:val="0"/>
    <w:rPr>
      <w:rFonts w:ascii="宋体"/>
      <w:sz w:val="18"/>
      <w:szCs w:val="18"/>
    </w:rPr>
  </w:style>
  <w:style w:type="paragraph" w:styleId="21">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2">
    <w:name w:val="annotation text"/>
    <w:basedOn w:val="1"/>
    <w:link w:val="93"/>
    <w:qFormat/>
    <w:uiPriority w:val="0"/>
    <w:pPr>
      <w:jc w:val="left"/>
    </w:pPr>
  </w:style>
  <w:style w:type="paragraph" w:styleId="23">
    <w:name w:val="Body Text 3"/>
    <w:basedOn w:val="1"/>
    <w:link w:val="204"/>
    <w:qFormat/>
    <w:uiPriority w:val="0"/>
    <w:pPr>
      <w:spacing w:after="120"/>
    </w:pPr>
    <w:rPr>
      <w:sz w:val="16"/>
      <w:szCs w:val="16"/>
    </w:rPr>
  </w:style>
  <w:style w:type="paragraph" w:styleId="24">
    <w:name w:val="List Bullet 3"/>
    <w:basedOn w:val="1"/>
    <w:qFormat/>
    <w:uiPriority w:val="0"/>
    <w:pPr>
      <w:tabs>
        <w:tab w:val="left" w:pos="1200"/>
      </w:tabs>
      <w:ind w:left="420" w:hanging="420"/>
    </w:pPr>
    <w:rPr>
      <w:szCs w:val="24"/>
    </w:rPr>
  </w:style>
  <w:style w:type="paragraph" w:styleId="25">
    <w:name w:val="Body Text"/>
    <w:basedOn w:val="1"/>
    <w:link w:val="86"/>
    <w:qFormat/>
    <w:uiPriority w:val="0"/>
    <w:rPr>
      <w:rFonts w:ascii="宋体" w:hAnsi="宋体"/>
      <w:color w:val="0000FF"/>
      <w:sz w:val="24"/>
      <w:szCs w:val="24"/>
    </w:rPr>
  </w:style>
  <w:style w:type="paragraph" w:styleId="26">
    <w:name w:val="Body Text Indent"/>
    <w:basedOn w:val="1"/>
    <w:link w:val="94"/>
    <w:qFormat/>
    <w:uiPriority w:val="0"/>
    <w:pPr>
      <w:spacing w:after="120"/>
      <w:ind w:left="420" w:leftChars="200"/>
    </w:pPr>
    <w:rPr>
      <w:szCs w:val="24"/>
    </w:rPr>
  </w:style>
  <w:style w:type="paragraph" w:styleId="27">
    <w:name w:val="List Bullet 2"/>
    <w:basedOn w:val="1"/>
    <w:qFormat/>
    <w:uiPriority w:val="0"/>
    <w:pPr>
      <w:tabs>
        <w:tab w:val="left" w:pos="780"/>
      </w:tabs>
      <w:ind w:left="420" w:hanging="420"/>
    </w:pPr>
    <w:rPr>
      <w:szCs w:val="24"/>
    </w:rPr>
  </w:style>
  <w:style w:type="paragraph" w:styleId="28">
    <w:name w:val="toc 5"/>
    <w:basedOn w:val="1"/>
    <w:next w:val="1"/>
    <w:qFormat/>
    <w:uiPriority w:val="0"/>
    <w:pPr>
      <w:ind w:left="1680" w:leftChars="800"/>
    </w:pPr>
    <w:rPr>
      <w:szCs w:val="24"/>
    </w:rPr>
  </w:style>
  <w:style w:type="paragraph" w:styleId="29">
    <w:name w:val="toc 3"/>
    <w:basedOn w:val="1"/>
    <w:next w:val="1"/>
    <w:qFormat/>
    <w:uiPriority w:val="0"/>
    <w:pPr>
      <w:ind w:left="840" w:leftChars="400"/>
    </w:pPr>
    <w:rPr>
      <w:szCs w:val="24"/>
    </w:rPr>
  </w:style>
  <w:style w:type="paragraph" w:styleId="30">
    <w:name w:val="Plain Text"/>
    <w:basedOn w:val="1"/>
    <w:link w:val="77"/>
    <w:unhideWhenUsed/>
    <w:qFormat/>
    <w:uiPriority w:val="0"/>
    <w:rPr>
      <w:rFonts w:ascii="宋体" w:hAnsi="Courier New"/>
    </w:rPr>
  </w:style>
  <w:style w:type="paragraph" w:styleId="31">
    <w:name w:val="toc 8"/>
    <w:basedOn w:val="1"/>
    <w:next w:val="1"/>
    <w:qFormat/>
    <w:uiPriority w:val="0"/>
    <w:pPr>
      <w:ind w:left="2940" w:leftChars="1400"/>
    </w:pPr>
    <w:rPr>
      <w:szCs w:val="24"/>
    </w:rPr>
  </w:style>
  <w:style w:type="paragraph" w:styleId="32">
    <w:name w:val="Date"/>
    <w:basedOn w:val="1"/>
    <w:next w:val="1"/>
    <w:link w:val="96"/>
    <w:qFormat/>
    <w:uiPriority w:val="0"/>
  </w:style>
  <w:style w:type="paragraph" w:styleId="33">
    <w:name w:val="Body Text Indent 2"/>
    <w:basedOn w:val="1"/>
    <w:link w:val="97"/>
    <w:qFormat/>
    <w:uiPriority w:val="0"/>
    <w:pPr>
      <w:ind w:firstLine="480" w:firstLineChars="200"/>
    </w:pPr>
    <w:rPr>
      <w:rFonts w:ascii="宋体" w:hAnsi="宋体"/>
      <w:color w:val="FF0000"/>
      <w:sz w:val="24"/>
      <w:szCs w:val="24"/>
    </w:rPr>
  </w:style>
  <w:style w:type="paragraph" w:styleId="34">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5">
    <w:name w:val="Balloon Text"/>
    <w:basedOn w:val="1"/>
    <w:link w:val="82"/>
    <w:unhideWhenUsed/>
    <w:qFormat/>
    <w:uiPriority w:val="0"/>
    <w:rPr>
      <w:sz w:val="18"/>
      <w:szCs w:val="18"/>
    </w:rPr>
  </w:style>
  <w:style w:type="paragraph" w:styleId="36">
    <w:name w:val="footer"/>
    <w:basedOn w:val="1"/>
    <w:link w:val="78"/>
    <w:qFormat/>
    <w:uiPriority w:val="99"/>
    <w:pPr>
      <w:tabs>
        <w:tab w:val="center" w:pos="4153"/>
        <w:tab w:val="right" w:pos="8306"/>
      </w:tabs>
      <w:snapToGrid w:val="0"/>
      <w:jc w:val="left"/>
    </w:pPr>
    <w:rPr>
      <w:sz w:val="18"/>
    </w:rPr>
  </w:style>
  <w:style w:type="paragraph" w:styleId="37">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8">
    <w:name w:val="toc 1"/>
    <w:basedOn w:val="1"/>
    <w:next w:val="1"/>
    <w:qFormat/>
    <w:uiPriority w:val="0"/>
    <w:rPr>
      <w:szCs w:val="24"/>
    </w:rPr>
  </w:style>
  <w:style w:type="paragraph" w:styleId="39">
    <w:name w:val="toc 4"/>
    <w:basedOn w:val="1"/>
    <w:next w:val="1"/>
    <w:qFormat/>
    <w:uiPriority w:val="0"/>
    <w:pPr>
      <w:ind w:left="1260" w:leftChars="600"/>
    </w:pPr>
    <w:rPr>
      <w:szCs w:val="24"/>
    </w:rPr>
  </w:style>
  <w:style w:type="paragraph" w:styleId="40">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1">
    <w:name w:val="List Number 5"/>
    <w:basedOn w:val="1"/>
    <w:semiHidden/>
    <w:unhideWhenUsed/>
    <w:qFormat/>
    <w:uiPriority w:val="99"/>
    <w:pPr>
      <w:numPr>
        <w:ilvl w:val="0"/>
        <w:numId w:val="2"/>
      </w:numPr>
    </w:pPr>
  </w:style>
  <w:style w:type="paragraph" w:styleId="42">
    <w:name w:val="toc 6"/>
    <w:basedOn w:val="1"/>
    <w:next w:val="1"/>
    <w:qFormat/>
    <w:uiPriority w:val="0"/>
    <w:pPr>
      <w:ind w:left="2100" w:leftChars="1000"/>
    </w:pPr>
    <w:rPr>
      <w:szCs w:val="24"/>
    </w:rPr>
  </w:style>
  <w:style w:type="paragraph" w:styleId="43">
    <w:name w:val="List 5"/>
    <w:basedOn w:val="1"/>
    <w:qFormat/>
    <w:uiPriority w:val="0"/>
    <w:pPr>
      <w:ind w:left="2100" w:hanging="420"/>
    </w:pPr>
    <w:rPr>
      <w:kern w:val="0"/>
      <w:position w:val="-6"/>
      <w:sz w:val="24"/>
    </w:rPr>
  </w:style>
  <w:style w:type="paragraph" w:styleId="44">
    <w:name w:val="Body Text Indent 3"/>
    <w:basedOn w:val="1"/>
    <w:link w:val="99"/>
    <w:qFormat/>
    <w:uiPriority w:val="0"/>
    <w:pPr>
      <w:spacing w:line="360" w:lineRule="atLeast"/>
      <w:ind w:left="420" w:firstLine="480"/>
    </w:pPr>
    <w:rPr>
      <w:rFonts w:ascii="宋体"/>
      <w:sz w:val="24"/>
      <w:szCs w:val="24"/>
    </w:rPr>
  </w:style>
  <w:style w:type="paragraph" w:styleId="45">
    <w:name w:val="toc 2"/>
    <w:basedOn w:val="1"/>
    <w:next w:val="1"/>
    <w:qFormat/>
    <w:uiPriority w:val="0"/>
    <w:pPr>
      <w:ind w:left="420" w:leftChars="200"/>
    </w:pPr>
    <w:rPr>
      <w:szCs w:val="24"/>
    </w:rPr>
  </w:style>
  <w:style w:type="paragraph" w:styleId="46">
    <w:name w:val="toc 9"/>
    <w:basedOn w:val="1"/>
    <w:next w:val="1"/>
    <w:qFormat/>
    <w:uiPriority w:val="0"/>
    <w:pPr>
      <w:ind w:left="3360" w:leftChars="1600"/>
    </w:pPr>
    <w:rPr>
      <w:szCs w:val="24"/>
    </w:rPr>
  </w:style>
  <w:style w:type="paragraph" w:styleId="47">
    <w:name w:val="Body Text 2"/>
    <w:basedOn w:val="1"/>
    <w:link w:val="100"/>
    <w:qFormat/>
    <w:uiPriority w:val="0"/>
    <w:rPr>
      <w:rFonts w:ascii="宋体"/>
      <w:b/>
      <w:bCs/>
      <w:color w:val="0000FF"/>
      <w:sz w:val="30"/>
      <w:szCs w:val="24"/>
    </w:rPr>
  </w:style>
  <w:style w:type="paragraph" w:styleId="48">
    <w:name w:val="List 4"/>
    <w:basedOn w:val="1"/>
    <w:qFormat/>
    <w:uiPriority w:val="0"/>
    <w:pPr>
      <w:ind w:left="1680" w:hanging="420"/>
    </w:pPr>
    <w:rPr>
      <w:kern w:val="0"/>
      <w:position w:val="-6"/>
      <w:sz w:val="24"/>
    </w:rPr>
  </w:style>
  <w:style w:type="paragraph" w:styleId="49">
    <w:name w:val="Message Header"/>
    <w:basedOn w:val="25"/>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50">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2">
    <w:name w:val="index 1"/>
    <w:basedOn w:val="1"/>
    <w:next w:val="1"/>
    <w:qFormat/>
    <w:uiPriority w:val="0"/>
    <w:pPr>
      <w:adjustRightInd w:val="0"/>
      <w:spacing w:line="360" w:lineRule="atLeast"/>
      <w:jc w:val="left"/>
      <w:textAlignment w:val="baseline"/>
    </w:pPr>
    <w:rPr>
      <w:kern w:val="0"/>
      <w:sz w:val="24"/>
    </w:rPr>
  </w:style>
  <w:style w:type="paragraph" w:styleId="53">
    <w:name w:val="index 2"/>
    <w:basedOn w:val="1"/>
    <w:next w:val="1"/>
    <w:qFormat/>
    <w:uiPriority w:val="0"/>
    <w:pPr>
      <w:ind w:left="200" w:leftChars="200"/>
    </w:pPr>
    <w:rPr>
      <w:kern w:val="0"/>
      <w:position w:val="-6"/>
      <w:sz w:val="24"/>
    </w:rPr>
  </w:style>
  <w:style w:type="paragraph" w:styleId="54">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5">
    <w:name w:val="annotation subject"/>
    <w:basedOn w:val="22"/>
    <w:next w:val="22"/>
    <w:link w:val="103"/>
    <w:semiHidden/>
    <w:qFormat/>
    <w:uiPriority w:val="0"/>
    <w:rPr>
      <w:b/>
      <w:bCs/>
      <w:szCs w:val="24"/>
    </w:rPr>
  </w:style>
  <w:style w:type="paragraph" w:styleId="56">
    <w:name w:val="Body Text First Indent"/>
    <w:basedOn w:val="25"/>
    <w:link w:val="146"/>
    <w:qFormat/>
    <w:uiPriority w:val="0"/>
    <w:pPr>
      <w:spacing w:after="120"/>
      <w:ind w:firstLine="420" w:firstLineChars="100"/>
    </w:pPr>
    <w:rPr>
      <w:rFonts w:hAnsi="Times New Roman"/>
      <w:color w:val="auto"/>
      <w:szCs w:val="20"/>
    </w:rPr>
  </w:style>
  <w:style w:type="paragraph" w:styleId="57">
    <w:name w:val="Body Text First Indent 2"/>
    <w:basedOn w:val="26"/>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9">
    <w:name w:val="Table Grid"/>
    <w:basedOn w:val="5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bCs/>
    </w:rPr>
  </w:style>
  <w:style w:type="character" w:styleId="62">
    <w:name w:val="page number"/>
    <w:basedOn w:val="60"/>
    <w:unhideWhenUsed/>
    <w:qFormat/>
    <w:uiPriority w:val="0"/>
    <w:rPr>
      <w:kern w:val="2"/>
      <w:sz w:val="21"/>
      <w:szCs w:val="21"/>
    </w:rPr>
  </w:style>
  <w:style w:type="character" w:styleId="63">
    <w:name w:val="FollowedHyperlink"/>
    <w:qFormat/>
    <w:uiPriority w:val="0"/>
    <w:rPr>
      <w:color w:val="800080"/>
      <w:u w:val="single"/>
    </w:rPr>
  </w:style>
  <w:style w:type="character" w:styleId="64">
    <w:name w:val="Hyperlink"/>
    <w:basedOn w:val="60"/>
    <w:unhideWhenUsed/>
    <w:qFormat/>
    <w:uiPriority w:val="0"/>
    <w:rPr>
      <w:color w:val="0563C1" w:themeColor="hyperlink"/>
      <w:u w:val="single"/>
      <w14:textFill>
        <w14:solidFill>
          <w14:schemeClr w14:val="hlink"/>
        </w14:solidFill>
      </w14:textFill>
    </w:rPr>
  </w:style>
  <w:style w:type="character" w:styleId="65">
    <w:name w:val="annotation reference"/>
    <w:qFormat/>
    <w:uiPriority w:val="0"/>
    <w:rPr>
      <w:sz w:val="21"/>
      <w:szCs w:val="21"/>
    </w:rPr>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60"/>
    <w:link w:val="2"/>
    <w:qFormat/>
    <w:uiPriority w:val="0"/>
    <w:rPr>
      <w:kern w:val="2"/>
      <w:sz w:val="28"/>
    </w:rPr>
  </w:style>
  <w:style w:type="character" w:customStyle="1" w:styleId="69">
    <w:name w:val="标题 2 字符"/>
    <w:basedOn w:val="60"/>
    <w:link w:val="3"/>
    <w:qFormat/>
    <w:uiPriority w:val="0"/>
    <w:rPr>
      <w:rFonts w:ascii="Arial" w:hAnsi="Arial" w:eastAsia="黑体"/>
      <w:b/>
      <w:sz w:val="32"/>
    </w:rPr>
  </w:style>
  <w:style w:type="character" w:customStyle="1" w:styleId="70">
    <w:name w:val="标题 3 字符"/>
    <w:basedOn w:val="60"/>
    <w:link w:val="5"/>
    <w:qFormat/>
    <w:uiPriority w:val="0"/>
    <w:rPr>
      <w:b/>
      <w:sz w:val="32"/>
    </w:rPr>
  </w:style>
  <w:style w:type="character" w:customStyle="1" w:styleId="71">
    <w:name w:val="标题 4 字符"/>
    <w:basedOn w:val="60"/>
    <w:link w:val="6"/>
    <w:qFormat/>
    <w:uiPriority w:val="0"/>
    <w:rPr>
      <w:rFonts w:ascii="Arial" w:hAnsi="Arial" w:eastAsia="黑体"/>
      <w:b/>
      <w:sz w:val="28"/>
    </w:rPr>
  </w:style>
  <w:style w:type="character" w:customStyle="1" w:styleId="72">
    <w:name w:val="标题 5 字符"/>
    <w:basedOn w:val="60"/>
    <w:link w:val="7"/>
    <w:qFormat/>
    <w:uiPriority w:val="0"/>
    <w:rPr>
      <w:b/>
      <w:sz w:val="28"/>
    </w:rPr>
  </w:style>
  <w:style w:type="character" w:customStyle="1" w:styleId="73">
    <w:name w:val="标题 6 字符"/>
    <w:basedOn w:val="60"/>
    <w:link w:val="8"/>
    <w:qFormat/>
    <w:uiPriority w:val="0"/>
    <w:rPr>
      <w:rFonts w:ascii="Arial" w:hAnsi="Arial" w:eastAsia="黑体"/>
      <w:b/>
      <w:sz w:val="24"/>
    </w:rPr>
  </w:style>
  <w:style w:type="character" w:customStyle="1" w:styleId="74">
    <w:name w:val="标题 7 字符"/>
    <w:basedOn w:val="60"/>
    <w:link w:val="9"/>
    <w:qFormat/>
    <w:uiPriority w:val="0"/>
    <w:rPr>
      <w:b/>
      <w:sz w:val="24"/>
    </w:rPr>
  </w:style>
  <w:style w:type="character" w:customStyle="1" w:styleId="75">
    <w:name w:val="标题 8 字符"/>
    <w:basedOn w:val="60"/>
    <w:link w:val="10"/>
    <w:qFormat/>
    <w:uiPriority w:val="0"/>
    <w:rPr>
      <w:rFonts w:ascii="Arial" w:hAnsi="Arial" w:eastAsia="黑体"/>
      <w:sz w:val="24"/>
    </w:rPr>
  </w:style>
  <w:style w:type="character" w:customStyle="1" w:styleId="76">
    <w:name w:val="标题 9 字符"/>
    <w:basedOn w:val="60"/>
    <w:link w:val="11"/>
    <w:qFormat/>
    <w:uiPriority w:val="0"/>
    <w:rPr>
      <w:rFonts w:ascii="Arial" w:hAnsi="Arial" w:eastAsia="黑体"/>
      <w:sz w:val="24"/>
    </w:rPr>
  </w:style>
  <w:style w:type="character" w:customStyle="1" w:styleId="77">
    <w:name w:val="纯文本 字符"/>
    <w:link w:val="30"/>
    <w:qFormat/>
    <w:uiPriority w:val="0"/>
    <w:rPr>
      <w:rFonts w:ascii="宋体" w:hAnsi="Courier New"/>
      <w:kern w:val="2"/>
      <w:sz w:val="21"/>
    </w:rPr>
  </w:style>
  <w:style w:type="character" w:customStyle="1" w:styleId="78">
    <w:name w:val="页脚 字符"/>
    <w:basedOn w:val="60"/>
    <w:link w:val="36"/>
    <w:qFormat/>
    <w:uiPriority w:val="99"/>
    <w:rPr>
      <w:kern w:val="2"/>
      <w:sz w:val="18"/>
    </w:rPr>
  </w:style>
  <w:style w:type="character" w:customStyle="1" w:styleId="79">
    <w:name w:val="页眉 字符"/>
    <w:link w:val="37"/>
    <w:qFormat/>
    <w:uiPriority w:val="0"/>
    <w:rPr>
      <w:kern w:val="2"/>
      <w:sz w:val="18"/>
    </w:rPr>
  </w:style>
  <w:style w:type="character" w:customStyle="1" w:styleId="80">
    <w:name w:val="标题 字符"/>
    <w:link w:val="54"/>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60"/>
    <w:link w:val="35"/>
    <w:qFormat/>
    <w:uiPriority w:val="0"/>
    <w:rPr>
      <w:kern w:val="2"/>
      <w:sz w:val="18"/>
      <w:szCs w:val="18"/>
    </w:rPr>
  </w:style>
  <w:style w:type="character" w:customStyle="1" w:styleId="83">
    <w:name w:val="正文缩进 字符"/>
    <w:link w:val="18"/>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60"/>
    <w:link w:val="25"/>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6"/>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20"/>
    <w:qFormat/>
    <w:uiPriority w:val="0"/>
    <w:rPr>
      <w:rFonts w:ascii="宋体"/>
      <w:kern w:val="2"/>
      <w:sz w:val="18"/>
      <w:szCs w:val="18"/>
    </w:rPr>
  </w:style>
  <w:style w:type="character" w:customStyle="1" w:styleId="92">
    <w:name w:val="文档结构图 字符"/>
    <w:basedOn w:val="60"/>
    <w:qFormat/>
    <w:uiPriority w:val="0"/>
    <w:rPr>
      <w:rFonts w:ascii="Microsoft YaHei UI" w:eastAsia="Microsoft YaHei UI"/>
      <w:kern w:val="2"/>
      <w:sz w:val="18"/>
      <w:szCs w:val="18"/>
    </w:rPr>
  </w:style>
  <w:style w:type="character" w:customStyle="1" w:styleId="93">
    <w:name w:val="批注文字 字符"/>
    <w:basedOn w:val="60"/>
    <w:link w:val="22"/>
    <w:qFormat/>
    <w:uiPriority w:val="0"/>
    <w:rPr>
      <w:kern w:val="2"/>
      <w:sz w:val="21"/>
    </w:rPr>
  </w:style>
  <w:style w:type="character" w:customStyle="1" w:styleId="94">
    <w:name w:val="正文文本缩进 字符"/>
    <w:basedOn w:val="60"/>
    <w:link w:val="26"/>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60"/>
    <w:link w:val="32"/>
    <w:qFormat/>
    <w:uiPriority w:val="0"/>
    <w:rPr>
      <w:kern w:val="2"/>
      <w:sz w:val="21"/>
    </w:rPr>
  </w:style>
  <w:style w:type="character" w:customStyle="1" w:styleId="97">
    <w:name w:val="正文文本缩进 2 字符"/>
    <w:basedOn w:val="60"/>
    <w:link w:val="33"/>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60"/>
    <w:link w:val="44"/>
    <w:qFormat/>
    <w:uiPriority w:val="0"/>
    <w:rPr>
      <w:rFonts w:ascii="宋体"/>
      <w:kern w:val="2"/>
      <w:sz w:val="24"/>
      <w:szCs w:val="24"/>
    </w:rPr>
  </w:style>
  <w:style w:type="character" w:customStyle="1" w:styleId="100">
    <w:name w:val="正文文本 2 字符"/>
    <w:basedOn w:val="60"/>
    <w:link w:val="47"/>
    <w:qFormat/>
    <w:uiPriority w:val="0"/>
    <w:rPr>
      <w:rFonts w:ascii="宋体"/>
      <w:b/>
      <w:bCs/>
      <w:color w:val="0000FF"/>
      <w:kern w:val="2"/>
      <w:sz w:val="30"/>
      <w:szCs w:val="24"/>
    </w:rPr>
  </w:style>
  <w:style w:type="character" w:customStyle="1" w:styleId="101">
    <w:name w:val="HTML 预设格式 字符1"/>
    <w:link w:val="50"/>
    <w:qFormat/>
    <w:uiPriority w:val="99"/>
    <w:rPr>
      <w:rFonts w:ascii="宋体" w:hAnsi="宋体" w:cs="宋体"/>
      <w:sz w:val="24"/>
      <w:szCs w:val="24"/>
    </w:rPr>
  </w:style>
  <w:style w:type="character" w:customStyle="1" w:styleId="102">
    <w:name w:val="HTML 预设格式 字符"/>
    <w:basedOn w:val="60"/>
    <w:semiHidden/>
    <w:qFormat/>
    <w:uiPriority w:val="99"/>
    <w:rPr>
      <w:rFonts w:ascii="Courier New" w:hAnsi="Courier New" w:cs="Courier New"/>
      <w:kern w:val="2"/>
    </w:rPr>
  </w:style>
  <w:style w:type="character" w:customStyle="1" w:styleId="103">
    <w:name w:val="批注主题 字符"/>
    <w:basedOn w:val="93"/>
    <w:link w:val="55"/>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6"/>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60"/>
    <w:link w:val="40"/>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6"/>
    <w:qFormat/>
    <w:uiPriority w:val="0"/>
    <w:rPr>
      <w:rFonts w:ascii="宋体" w:hAnsi="宋体"/>
      <w:color w:val="0000FF"/>
      <w:kern w:val="2"/>
      <w:sz w:val="24"/>
      <w:szCs w:val="24"/>
    </w:rPr>
  </w:style>
  <w:style w:type="character" w:customStyle="1" w:styleId="147">
    <w:name w:val="标题 1 Char1"/>
    <w:basedOn w:val="60"/>
    <w:qFormat/>
    <w:uiPriority w:val="0"/>
    <w:rPr>
      <w:rFonts w:eastAsia="宋体"/>
      <w:b/>
      <w:bCs/>
      <w:color w:val="000000"/>
      <w:kern w:val="44"/>
      <w:sz w:val="24"/>
      <w:szCs w:val="32"/>
      <w:lang w:val="en-US" w:eastAsia="zh-CN" w:bidi="ar-SA"/>
    </w:rPr>
  </w:style>
  <w:style w:type="character" w:customStyle="1" w:styleId="148">
    <w:name w:val="标题 2 Char1"/>
    <w:basedOn w:val="60"/>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60"/>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60"/>
    <w:link w:val="23"/>
    <w:qFormat/>
    <w:uiPriority w:val="0"/>
    <w:rPr>
      <w:kern w:val="2"/>
      <w:sz w:val="16"/>
      <w:szCs w:val="16"/>
    </w:rPr>
  </w:style>
  <w:style w:type="character" w:customStyle="1" w:styleId="205">
    <w:name w:val="信息标题 字符"/>
    <w:basedOn w:val="60"/>
    <w:link w:val="49"/>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2"/>
    <w:next w:val="52"/>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60"/>
    <w:link w:val="34"/>
    <w:qFormat/>
    <w:uiPriority w:val="0"/>
    <w:rPr>
      <w:rFonts w:ascii="宋体"/>
      <w:position w:val="-6"/>
      <w:sz w:val="24"/>
    </w:rPr>
  </w:style>
  <w:style w:type="character" w:customStyle="1" w:styleId="241">
    <w:name w:val="正文文本首行缩进 2 字符"/>
    <w:basedOn w:val="94"/>
    <w:link w:val="57"/>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8"/>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8"/>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5"/>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52</Pages>
  <Words>12693</Words>
  <Characters>13529</Characters>
  <Lines>97</Lines>
  <Paragraphs>27</Paragraphs>
  <TotalTime>6</TotalTime>
  <ScaleCrop>false</ScaleCrop>
  <LinksUpToDate>false</LinksUpToDate>
  <CharactersWithSpaces>14615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2026-08-04T01:35:35Z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845D1CFFC95747C2B9399FE6602AD881_13</vt:lpwstr>
  </property>
</Properties>
</file>