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万基铝加工铸轧厂保温炉提升式炉门驱动改造项目【招标编号：WJWZ-(2026)07002】进行公开招标，望拟投标单位在规定时间内投标。投标人在本次投标中若发现违规违纪问题可直接向招标单位纪委举报，举报电话：</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开标时间：2026年7月17日10:00（北京时间）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资质审验及报名截止时间：2026年7月16日18时前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技术联系人：郭永强 13838408407</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标的物：万基铝加工铸轧厂保温炉提升式炉门驱动改造项目。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p>
    <w:p w14:paraId="6B3B6B3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、资质要求：</w:t>
      </w:r>
    </w:p>
    <w:p w14:paraId="25519C1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1）投标单位必须是在中华人民共和国境内注册具有独立承担民事责任能力的法人或其他组织，具有标的物</w:t>
      </w:r>
      <w:r>
        <w:rPr>
          <w:rFonts w:hint="eastAsia" w:ascii="仿宋" w:hAnsi="仿宋" w:eastAsia="仿宋" w:cs="仿宋"/>
          <w:sz w:val="32"/>
          <w:szCs w:val="32"/>
          <w:lang w:val="en-US" w:eastAsia="zh-CN"/>
        </w:rPr>
        <w:t>相关</w:t>
      </w:r>
      <w:r>
        <w:rPr>
          <w:rFonts w:hint="eastAsia" w:ascii="仿宋" w:hAnsi="仿宋" w:eastAsia="仿宋" w:cs="仿宋"/>
          <w:sz w:val="32"/>
          <w:szCs w:val="32"/>
        </w:rPr>
        <w:t>经营资质及</w:t>
      </w:r>
      <w:r>
        <w:rPr>
          <w:rFonts w:hint="eastAsia" w:ascii="仿宋" w:hAnsi="仿宋" w:eastAsia="仿宋" w:cs="仿宋"/>
          <w:sz w:val="32"/>
          <w:szCs w:val="32"/>
          <w:lang w:val="en-US" w:eastAsia="zh-CN"/>
        </w:rPr>
        <w:t>制造等</w:t>
      </w:r>
      <w:r>
        <w:rPr>
          <w:rFonts w:hint="eastAsia" w:ascii="仿宋" w:hAnsi="仿宋" w:eastAsia="仿宋" w:cs="仿宋"/>
          <w:sz w:val="32"/>
          <w:szCs w:val="32"/>
        </w:rPr>
        <w:t>能力。</w:t>
      </w:r>
    </w:p>
    <w:p w14:paraId="2DA385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有良好的银行资信和商业信誉，没有处于被责令停业，财产被接管、冻结，破产状态；投标人在人员、技术、设备、资金方面具有完成本项目合同的能力。如果国家有强制性要求的资质文件，参标单位必须提供。</w:t>
      </w:r>
    </w:p>
    <w:p w14:paraId="7CD2D5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3）投标</w:t>
      </w:r>
      <w:r>
        <w:rPr>
          <w:rFonts w:hint="eastAsia" w:ascii="仿宋" w:hAnsi="仿宋" w:eastAsia="仿宋" w:cs="仿宋"/>
          <w:color w:val="auto"/>
          <w:sz w:val="32"/>
          <w:szCs w:val="32"/>
          <w:lang w:val="en-US" w:eastAsia="zh-CN"/>
        </w:rPr>
        <w:t>单位需提供同类行业相近的业绩及有效的扫描件业绩合同（不少于三份）</w:t>
      </w:r>
      <w:r>
        <w:rPr>
          <w:rFonts w:hint="eastAsia" w:ascii="仿宋" w:hAnsi="仿宋" w:eastAsia="仿宋" w:cs="仿宋"/>
          <w:color w:val="auto"/>
          <w:sz w:val="32"/>
          <w:szCs w:val="32"/>
        </w:rPr>
        <w:t>。</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为准。已在库的供应商需提供3份相关业绩证明。资质预审截止日期：</w:t>
      </w:r>
      <w:r>
        <w:rPr>
          <w:rFonts w:hint="eastAsia" w:ascii="仿宋" w:hAnsi="仿宋" w:eastAsia="仿宋" w:cs="仿宋"/>
          <w:b w:val="0"/>
          <w:bCs w:val="0"/>
          <w:color w:val="000000" w:themeColor="text1"/>
          <w:sz w:val="32"/>
          <w:szCs w:val="32"/>
          <w:lang w:val="en-US" w:eastAsia="zh-CN"/>
          <w14:textFill>
            <w14:solidFill>
              <w14:schemeClr w14:val="tx1"/>
            </w14:solidFill>
          </w14:textFill>
        </w:rPr>
        <w:t>2026年7月16日18时前，逾期未审者不得参与本次招标；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7、违约：认真阅读招标文件、合同条款、技术条件，参与投标即视同完全响应（差异表所列内容除外）。中标单位必须严格按照投标文件及投标报价单(价格、付款方式)签订合同及技术协议，否则即为违约；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、投标人名址、“正本”“副本”字样及“2026年7月17日10时（北京时间）之前不得启封”字样。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4.1.2为便于开标唱标，投标人应将《投标报价单》另用信封单独密封，与投标文件一同提交，并在封面上注明项目名称、投标人名字、“投标报价表”字样及“2026年7月17日10时（北京时间）之前不得启封”字样。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2"/>
                <w:szCs w:val="20"/>
              </w:rPr>
            </w:pPr>
            <w:r>
              <w:rPr>
                <w:rFonts w:hint="eastAsia" w:ascii="仿宋" w:hAnsi="仿宋" w:eastAsia="仿宋" w:cs="仿宋"/>
                <w:sz w:val="22"/>
                <w:szCs w:val="20"/>
              </w:rPr>
              <w:t>序号</w:t>
            </w:r>
          </w:p>
        </w:tc>
        <w:tc>
          <w:tcPr>
            <w:tcW w:w="1576" w:type="dxa"/>
            <w:noWrap w:val="0"/>
            <w:vAlign w:val="center"/>
          </w:tcPr>
          <w:p w14:paraId="0492555B">
            <w:pPr>
              <w:jc w:val="center"/>
              <w:rPr>
                <w:rFonts w:hint="eastAsia" w:ascii="仿宋" w:hAnsi="仿宋" w:eastAsia="仿宋" w:cs="仿宋"/>
                <w:sz w:val="22"/>
                <w:szCs w:val="20"/>
              </w:rPr>
            </w:pPr>
            <w:r>
              <w:rPr>
                <w:rFonts w:hint="eastAsia" w:ascii="仿宋" w:hAnsi="仿宋" w:eastAsia="仿宋" w:cs="仿宋"/>
                <w:sz w:val="22"/>
                <w:szCs w:val="20"/>
              </w:rPr>
              <w:t>评分因素</w:t>
            </w:r>
          </w:p>
        </w:tc>
        <w:tc>
          <w:tcPr>
            <w:tcW w:w="1200" w:type="dxa"/>
            <w:noWrap w:val="0"/>
            <w:vAlign w:val="center"/>
          </w:tcPr>
          <w:p w14:paraId="36B7EAEB">
            <w:pPr>
              <w:jc w:val="center"/>
              <w:rPr>
                <w:rFonts w:hint="eastAsia" w:ascii="仿宋" w:hAnsi="仿宋" w:eastAsia="仿宋" w:cs="仿宋"/>
                <w:sz w:val="22"/>
                <w:szCs w:val="20"/>
              </w:rPr>
            </w:pPr>
            <w:r>
              <w:rPr>
                <w:rFonts w:hint="eastAsia" w:ascii="仿宋" w:hAnsi="仿宋" w:eastAsia="仿宋" w:cs="仿宋"/>
                <w:sz w:val="22"/>
                <w:szCs w:val="20"/>
              </w:rPr>
              <w:t>标准分</w:t>
            </w:r>
          </w:p>
        </w:tc>
        <w:tc>
          <w:tcPr>
            <w:tcW w:w="4767" w:type="dxa"/>
            <w:noWrap w:val="0"/>
            <w:vAlign w:val="center"/>
          </w:tcPr>
          <w:p w14:paraId="152F407E">
            <w:pPr>
              <w:jc w:val="center"/>
              <w:rPr>
                <w:rFonts w:hint="eastAsia" w:ascii="仿宋" w:hAnsi="仿宋" w:eastAsia="仿宋" w:cs="仿宋"/>
                <w:sz w:val="22"/>
                <w:szCs w:val="20"/>
              </w:rPr>
            </w:pPr>
            <w:r>
              <w:rPr>
                <w:rFonts w:hint="eastAsia" w:ascii="仿宋" w:hAnsi="仿宋" w:eastAsia="仿宋" w:cs="仿宋"/>
                <w:sz w:val="22"/>
                <w:szCs w:val="20"/>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Cs w:val="21"/>
              </w:rPr>
            </w:pPr>
            <w:r>
              <w:rPr>
                <w:rFonts w:hint="eastAsia" w:ascii="仿宋" w:hAnsi="仿宋" w:eastAsia="仿宋" w:cs="仿宋"/>
                <w:szCs w:val="21"/>
              </w:rPr>
              <w:t>1</w:t>
            </w:r>
          </w:p>
        </w:tc>
        <w:tc>
          <w:tcPr>
            <w:tcW w:w="1576" w:type="dxa"/>
            <w:noWrap w:val="0"/>
            <w:vAlign w:val="center"/>
          </w:tcPr>
          <w:p w14:paraId="784D9FC7">
            <w:pPr>
              <w:rPr>
                <w:rFonts w:hint="eastAsia" w:ascii="仿宋" w:hAnsi="仿宋" w:eastAsia="仿宋" w:cs="仿宋"/>
                <w:szCs w:val="21"/>
              </w:rPr>
            </w:pPr>
            <w:r>
              <w:rPr>
                <w:rFonts w:hint="eastAsia" w:ascii="仿宋" w:hAnsi="仿宋" w:eastAsia="仿宋" w:cs="仿宋"/>
                <w:szCs w:val="21"/>
              </w:rPr>
              <w:t>投标文件的完整性及响应情况（3分）</w:t>
            </w:r>
          </w:p>
        </w:tc>
        <w:tc>
          <w:tcPr>
            <w:tcW w:w="1200" w:type="dxa"/>
            <w:noWrap w:val="0"/>
            <w:vAlign w:val="center"/>
          </w:tcPr>
          <w:p w14:paraId="076EDEF7">
            <w:pPr>
              <w:jc w:val="center"/>
              <w:rPr>
                <w:rFonts w:hint="eastAsia" w:ascii="仿宋" w:hAnsi="仿宋" w:eastAsia="仿宋" w:cs="仿宋"/>
                <w:szCs w:val="21"/>
              </w:rPr>
            </w:pPr>
            <w:r>
              <w:rPr>
                <w:rFonts w:hint="eastAsia" w:ascii="仿宋" w:hAnsi="仿宋" w:eastAsia="仿宋" w:cs="仿宋"/>
                <w:szCs w:val="21"/>
              </w:rPr>
              <w:t>3</w:t>
            </w:r>
          </w:p>
        </w:tc>
        <w:tc>
          <w:tcPr>
            <w:tcW w:w="4767" w:type="dxa"/>
            <w:noWrap w:val="0"/>
            <w:vAlign w:val="center"/>
          </w:tcPr>
          <w:p w14:paraId="529E1AA7">
            <w:pPr>
              <w:rPr>
                <w:rFonts w:hint="eastAsia" w:ascii="仿宋" w:hAnsi="仿宋" w:eastAsia="仿宋" w:cs="仿宋"/>
                <w:szCs w:val="21"/>
              </w:rPr>
            </w:pPr>
            <w:r>
              <w:rPr>
                <w:rFonts w:hint="eastAsia" w:ascii="仿宋" w:hAnsi="仿宋" w:eastAsia="仿宋" w:cs="仿宋"/>
                <w:szCs w:val="21"/>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Cs w:val="21"/>
              </w:rPr>
            </w:pPr>
            <w:r>
              <w:rPr>
                <w:rFonts w:hint="eastAsia" w:ascii="仿宋" w:hAnsi="仿宋" w:eastAsia="仿宋" w:cs="仿宋"/>
                <w:szCs w:val="21"/>
              </w:rPr>
              <w:t>2</w:t>
            </w:r>
          </w:p>
        </w:tc>
        <w:tc>
          <w:tcPr>
            <w:tcW w:w="1576" w:type="dxa"/>
            <w:noWrap w:val="0"/>
            <w:vAlign w:val="center"/>
          </w:tcPr>
          <w:p w14:paraId="6CC2918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投标单位财务状况（2分）</w:t>
            </w:r>
          </w:p>
        </w:tc>
        <w:tc>
          <w:tcPr>
            <w:tcW w:w="1200" w:type="dxa"/>
            <w:noWrap w:val="0"/>
            <w:vAlign w:val="center"/>
          </w:tcPr>
          <w:p w14:paraId="3E422E03">
            <w:pPr>
              <w:jc w:val="center"/>
              <w:rPr>
                <w:rFonts w:hint="eastAsia" w:ascii="仿宋" w:hAnsi="仿宋" w:eastAsia="仿宋" w:cs="仿宋"/>
                <w:szCs w:val="21"/>
              </w:rPr>
            </w:pPr>
            <w:r>
              <w:rPr>
                <w:rFonts w:hint="eastAsia" w:ascii="仿宋" w:hAnsi="仿宋" w:eastAsia="仿宋" w:cs="仿宋"/>
              </w:rPr>
              <w:t>2</w:t>
            </w:r>
          </w:p>
        </w:tc>
        <w:tc>
          <w:tcPr>
            <w:tcW w:w="4767" w:type="dxa"/>
            <w:noWrap w:val="0"/>
            <w:vAlign w:val="center"/>
          </w:tcPr>
          <w:p w14:paraId="52ECB394">
            <w:pPr>
              <w:rPr>
                <w:rFonts w:hint="eastAsia" w:ascii="仿宋" w:hAnsi="仿宋" w:eastAsia="仿宋" w:cs="仿宋"/>
              </w:rPr>
            </w:pPr>
            <w:r>
              <w:rPr>
                <w:rFonts w:hint="eastAsia" w:ascii="仿宋" w:hAnsi="仿宋" w:eastAsia="仿宋" w:cs="仿宋"/>
              </w:rPr>
              <w:t>按招标文件要求提供近3年经会计事务所审计的财务报表及审计报告得1分，否则不得分。</w:t>
            </w:r>
          </w:p>
          <w:p w14:paraId="09B676F7">
            <w:pPr>
              <w:rPr>
                <w:rFonts w:hint="eastAsia" w:ascii="仿宋" w:hAnsi="仿宋" w:eastAsia="仿宋" w:cs="仿宋"/>
              </w:rPr>
            </w:pPr>
            <w:r>
              <w:rPr>
                <w:rFonts w:hint="eastAsia" w:ascii="仿宋" w:hAnsi="仿宋" w:eastAsia="仿宋" w:cs="仿宋"/>
                <w:szCs w:val="21"/>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w:t>
            </w:r>
          </w:p>
        </w:tc>
        <w:tc>
          <w:tcPr>
            <w:tcW w:w="1576" w:type="dxa"/>
            <w:noWrap w:val="0"/>
            <w:vAlign w:val="top"/>
          </w:tcPr>
          <w:p w14:paraId="3D6E2A73">
            <w:pPr>
              <w:rPr>
                <w:rFonts w:hint="eastAsia" w:ascii="仿宋" w:hAnsi="仿宋" w:eastAsia="仿宋" w:cs="仿宋"/>
                <w:szCs w:val="21"/>
                <w:lang w:val="en-US" w:eastAsia="zh-CN"/>
              </w:rPr>
            </w:pPr>
          </w:p>
          <w:p w14:paraId="02744418">
            <w:pPr>
              <w:rPr>
                <w:rFonts w:hint="default" w:ascii="仿宋" w:hAnsi="仿宋" w:eastAsia="仿宋" w:cs="仿宋"/>
                <w:szCs w:val="21"/>
                <w:lang w:val="en-US" w:eastAsia="zh-CN"/>
              </w:rPr>
            </w:pPr>
            <w:r>
              <w:rPr>
                <w:rFonts w:hint="eastAsia" w:ascii="仿宋" w:hAnsi="仿宋" w:eastAsia="仿宋" w:cs="仿宋"/>
                <w:szCs w:val="21"/>
                <w:lang w:val="en-US" w:eastAsia="zh-CN"/>
              </w:rPr>
              <w:t>综合生产能力（3分）</w:t>
            </w:r>
          </w:p>
        </w:tc>
        <w:tc>
          <w:tcPr>
            <w:tcW w:w="1200" w:type="dxa"/>
            <w:noWrap w:val="0"/>
            <w:vAlign w:val="center"/>
          </w:tcPr>
          <w:p w14:paraId="20F5E0E7">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4767" w:type="dxa"/>
            <w:noWrap w:val="0"/>
            <w:vAlign w:val="center"/>
          </w:tcPr>
          <w:p w14:paraId="549006C1">
            <w:pPr>
              <w:rPr>
                <w:rFonts w:hint="eastAsia" w:ascii="仿宋" w:hAnsi="仿宋" w:eastAsia="仿宋" w:cs="仿宋"/>
                <w:szCs w:val="21"/>
              </w:rPr>
            </w:pPr>
            <w:r>
              <w:rPr>
                <w:rFonts w:hint="eastAsia" w:ascii="仿宋" w:hAnsi="仿宋" w:eastAsia="仿宋" w:cs="仿宋"/>
                <w:szCs w:val="21"/>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576" w:type="dxa"/>
            <w:shd w:val="clear" w:color="auto" w:fill="auto"/>
            <w:noWrap w:val="0"/>
            <w:vAlign w:val="center"/>
          </w:tcPr>
          <w:p w14:paraId="21CDF4F8">
            <w:pPr>
              <w:rPr>
                <w:rFonts w:hint="eastAsia" w:ascii="仿宋" w:hAnsi="仿宋" w:eastAsia="仿宋" w:cs="仿宋"/>
                <w:szCs w:val="21"/>
                <w:lang w:val="en-US" w:eastAsia="zh-CN"/>
              </w:rPr>
            </w:pPr>
            <w:r>
              <w:rPr>
                <w:rFonts w:hint="eastAsia" w:ascii="仿宋" w:hAnsi="仿宋" w:eastAsia="仿宋" w:cs="仿宋"/>
                <w:szCs w:val="21"/>
                <w:lang w:val="en-US" w:eastAsia="zh-CN"/>
              </w:rPr>
              <w:t>信用评价</w:t>
            </w:r>
          </w:p>
          <w:p w14:paraId="3C61EEBF">
            <w:pPr>
              <w:rPr>
                <w:rFonts w:hint="eastAsia" w:ascii="仿宋" w:hAnsi="仿宋" w:eastAsia="仿宋" w:cs="仿宋"/>
                <w:szCs w:val="21"/>
                <w:lang w:val="en-US" w:eastAsia="zh-CN"/>
              </w:rPr>
            </w:pPr>
            <w:r>
              <w:rPr>
                <w:rFonts w:hint="eastAsia" w:ascii="仿宋" w:hAnsi="仿宋" w:eastAsia="仿宋" w:cs="仿宋"/>
                <w:szCs w:val="21"/>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4767" w:type="dxa"/>
            <w:shd w:val="clear" w:color="auto" w:fill="auto"/>
            <w:noWrap w:val="0"/>
            <w:vAlign w:val="center"/>
          </w:tcPr>
          <w:p w14:paraId="5632BF19">
            <w:pPr>
              <w:rPr>
                <w:rFonts w:hint="eastAsia" w:ascii="仿宋" w:hAnsi="仿宋" w:eastAsia="仿宋" w:cs="仿宋"/>
                <w:szCs w:val="21"/>
                <w:lang w:val="en-US" w:eastAsia="zh-CN"/>
              </w:rPr>
            </w:pPr>
            <w:r>
              <w:rPr>
                <w:rFonts w:hint="eastAsia" w:ascii="仿宋" w:hAnsi="仿宋" w:eastAsia="仿宋" w:cs="仿宋"/>
                <w:szCs w:val="21"/>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商务部分偏差(</w:t>
            </w:r>
            <w:r>
              <w:rPr>
                <w:rFonts w:hint="eastAsia" w:ascii="仿宋" w:hAnsi="仿宋" w:eastAsia="仿宋" w:cs="仿宋"/>
                <w:szCs w:val="21"/>
                <w:lang w:val="en-US" w:eastAsia="zh-CN"/>
              </w:rPr>
              <w:t>1</w:t>
            </w:r>
            <w:r>
              <w:rPr>
                <w:rFonts w:hint="eastAsia" w:ascii="仿宋" w:hAnsi="仿宋" w:eastAsia="仿宋" w:cs="仿宋"/>
                <w:szCs w:val="21"/>
              </w:rPr>
              <w:t>分)</w:t>
            </w:r>
          </w:p>
        </w:tc>
        <w:tc>
          <w:tcPr>
            <w:tcW w:w="1200" w:type="dxa"/>
            <w:shd w:val="clear" w:color="auto" w:fill="auto"/>
            <w:noWrap w:val="0"/>
            <w:vAlign w:val="center"/>
          </w:tcPr>
          <w:p w14:paraId="5205B8B8">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1"/>
                <w:szCs w:val="21"/>
                <w:lang w:val="en-US" w:eastAsia="zh-CN" w:bidi="ar-SA"/>
              </w:rPr>
            </w:pPr>
            <w:r>
              <w:rPr>
                <w:rFonts w:hint="eastAsia" w:ascii="仿宋" w:hAnsi="仿宋" w:eastAsia="仿宋" w:cs="仿宋"/>
                <w:szCs w:val="21"/>
                <w:lang w:eastAsia="zh-CN"/>
              </w:rPr>
              <w:t>无商务偏差得</w:t>
            </w:r>
            <w:r>
              <w:rPr>
                <w:rFonts w:hint="eastAsia" w:ascii="仿宋" w:hAnsi="仿宋" w:eastAsia="仿宋" w:cs="仿宋"/>
                <w:szCs w:val="21"/>
                <w:lang w:val="en-US" w:eastAsia="zh-CN"/>
              </w:rPr>
              <w:t>1</w:t>
            </w:r>
            <w:r>
              <w:rPr>
                <w:rFonts w:hint="eastAsia" w:ascii="仿宋" w:hAnsi="仿宋" w:eastAsia="仿宋" w:cs="仿宋"/>
                <w:szCs w:val="21"/>
              </w:rPr>
              <w:t>分</w:t>
            </w:r>
            <w:r>
              <w:rPr>
                <w:rFonts w:hint="eastAsia" w:ascii="仿宋" w:hAnsi="仿宋" w:eastAsia="仿宋" w:cs="仿宋"/>
                <w:szCs w:val="21"/>
                <w:lang w:eastAsia="zh-CN"/>
              </w:rPr>
              <w:t>，</w:t>
            </w:r>
            <w:r>
              <w:rPr>
                <w:rFonts w:hint="eastAsia" w:ascii="仿宋" w:hAnsi="仿宋" w:eastAsia="仿宋" w:cs="仿宋"/>
                <w:szCs w:val="21"/>
                <w:lang w:val="en-US" w:eastAsia="zh-CN"/>
              </w:rPr>
              <w:t>有偏差不得分</w:t>
            </w:r>
            <w:r>
              <w:rPr>
                <w:rFonts w:hint="eastAsia" w:ascii="仿宋" w:hAnsi="仿宋" w:eastAsia="仿宋" w:cs="仿宋"/>
                <w:szCs w:val="21"/>
              </w:rPr>
              <w:t>。</w:t>
            </w:r>
          </w:p>
        </w:tc>
      </w:tr>
    </w:tbl>
    <w:p w14:paraId="53AEA133">
      <w:pPr>
        <w:spacing w:before="285" w:beforeLines="75" w:after="285" w:afterLines="75"/>
        <w:rPr>
          <w:rFonts w:hint="eastAsia" w:ascii="仿宋" w:hAnsi="仿宋" w:eastAsia="仿宋" w:cs="仿宋"/>
          <w:b/>
          <w:bCs/>
          <w:sz w:val="32"/>
          <w:szCs w:val="24"/>
          <w:lang w:val="en-US" w:eastAsia="zh-CN"/>
        </w:rPr>
      </w:pPr>
    </w:p>
    <w:p w14:paraId="16680C82">
      <w:pPr>
        <w:spacing w:before="285" w:beforeLines="75" w:after="285" w:afterLines="75"/>
        <w:rPr>
          <w:rFonts w:hint="eastAsia" w:ascii="仿宋" w:hAnsi="仿宋" w:eastAsia="仿宋" w:cs="仿宋"/>
          <w:b/>
          <w:bCs/>
          <w:sz w:val="32"/>
          <w:szCs w:val="24"/>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923" w:type="dxa"/>
            <w:noWrap w:val="0"/>
            <w:vAlign w:val="center"/>
          </w:tcPr>
          <w:p w14:paraId="41BB609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4323" w:type="dxa"/>
            <w:noWrap w:val="0"/>
            <w:vAlign w:val="center"/>
          </w:tcPr>
          <w:p w14:paraId="7CFA88A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基本功能</w:t>
            </w:r>
          </w:p>
        </w:tc>
        <w:tc>
          <w:tcPr>
            <w:tcW w:w="923" w:type="dxa"/>
            <w:noWrap w:val="0"/>
            <w:vAlign w:val="center"/>
          </w:tcPr>
          <w:p w14:paraId="39000FAC">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rPr>
              <w:t>完全满足：</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分；基本满足：1-</w:t>
            </w:r>
            <w:r>
              <w:rPr>
                <w:rFonts w:hint="eastAsia" w:ascii="仿宋" w:hAnsi="仿宋" w:eastAsia="仿宋" w:cs="仿宋"/>
                <w:snapToGrid w:val="0"/>
                <w:kern w:val="0"/>
                <w:szCs w:val="21"/>
                <w:lang w:val="en-US" w:eastAsia="zh-CN"/>
              </w:rPr>
              <w:t>4</w:t>
            </w:r>
            <w:r>
              <w:rPr>
                <w:rFonts w:hint="eastAsia" w:ascii="仿宋" w:hAnsi="仿宋" w:eastAsia="仿宋" w:cs="仿宋"/>
                <w:snapToGrid w:val="0"/>
                <w:kern w:val="0"/>
                <w:szCs w:val="21"/>
              </w:rPr>
              <w:t>分；不满足：</w:t>
            </w:r>
            <w:r>
              <w:rPr>
                <w:rFonts w:hint="eastAsia" w:ascii="仿宋" w:hAnsi="仿宋" w:eastAsia="仿宋" w:cs="仿宋"/>
                <w:snapToGrid w:val="0"/>
                <w:kern w:val="0"/>
                <w:szCs w:val="21"/>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设计制作</w:t>
            </w:r>
          </w:p>
        </w:tc>
        <w:tc>
          <w:tcPr>
            <w:tcW w:w="923" w:type="dxa"/>
            <w:noWrap w:val="0"/>
            <w:vAlign w:val="center"/>
          </w:tcPr>
          <w:p w14:paraId="29B96578">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根据工艺及技术力量：1-</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3</w:t>
            </w:r>
          </w:p>
        </w:tc>
        <w:tc>
          <w:tcPr>
            <w:tcW w:w="2700" w:type="dxa"/>
            <w:noWrap w:val="0"/>
            <w:vAlign w:val="center"/>
          </w:tcPr>
          <w:p w14:paraId="46E168C8">
            <w:pPr>
              <w:suppressLineNumbers/>
              <w:suppressAutoHyphens/>
              <w:kinsoku w:val="0"/>
              <w:snapToGrid w:val="0"/>
              <w:ind w:firstLine="105" w:firstLineChars="5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rPr>
              <w:t>稳定性、可靠性等</w:t>
            </w:r>
          </w:p>
        </w:tc>
        <w:tc>
          <w:tcPr>
            <w:tcW w:w="923" w:type="dxa"/>
            <w:noWrap w:val="0"/>
            <w:vAlign w:val="center"/>
          </w:tcPr>
          <w:p w14:paraId="7AAC0B70">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根据投标方方案：</w:t>
            </w:r>
            <w:r>
              <w:rPr>
                <w:rFonts w:hint="eastAsia" w:ascii="仿宋" w:hAnsi="仿宋" w:eastAsia="仿宋" w:cs="仿宋"/>
                <w:snapToGrid w:val="0"/>
                <w:kern w:val="0"/>
                <w:szCs w:val="21"/>
                <w:lang w:val="en-US" w:eastAsia="zh-CN"/>
              </w:rPr>
              <w:t>1</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综合技术水平及性能</w:t>
            </w:r>
          </w:p>
        </w:tc>
        <w:tc>
          <w:tcPr>
            <w:tcW w:w="923" w:type="dxa"/>
            <w:shd w:val="clear" w:color="auto" w:fill="auto"/>
            <w:noWrap w:val="0"/>
            <w:vAlign w:val="center"/>
          </w:tcPr>
          <w:p w14:paraId="1F3D17F8">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对工艺、技术、配置、性能等的可行性、先进性、专利等综合评价：</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3</w:t>
            </w:r>
            <w:r>
              <w:rPr>
                <w:rFonts w:hint="eastAsia" w:ascii="仿宋" w:hAnsi="仿宋" w:eastAsia="仿宋" w:cs="仿宋"/>
                <w:snapToGrid w:val="0"/>
                <w:kern w:val="0"/>
                <w:szCs w:val="21"/>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安全</w:t>
            </w:r>
            <w:r>
              <w:rPr>
                <w:rFonts w:hint="eastAsia" w:ascii="仿宋" w:hAnsi="仿宋" w:eastAsia="仿宋" w:cs="仿宋"/>
                <w:snapToGrid w:val="0"/>
                <w:kern w:val="0"/>
                <w:szCs w:val="21"/>
                <w:lang w:eastAsia="zh-CN"/>
              </w:rPr>
              <w:t>、</w:t>
            </w:r>
            <w:r>
              <w:rPr>
                <w:rFonts w:hint="eastAsia" w:ascii="仿宋" w:hAnsi="仿宋" w:eastAsia="仿宋" w:cs="仿宋"/>
                <w:snapToGrid w:val="0"/>
                <w:kern w:val="0"/>
                <w:szCs w:val="21"/>
              </w:rPr>
              <w:t>环保</w:t>
            </w:r>
          </w:p>
        </w:tc>
        <w:tc>
          <w:tcPr>
            <w:tcW w:w="923" w:type="dxa"/>
            <w:shd w:val="clear" w:color="auto" w:fill="auto"/>
            <w:noWrap w:val="0"/>
            <w:vAlign w:val="center"/>
          </w:tcPr>
          <w:p w14:paraId="12CC9414">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根据具体情况：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随机备品备件</w:t>
            </w:r>
          </w:p>
        </w:tc>
        <w:tc>
          <w:tcPr>
            <w:tcW w:w="923" w:type="dxa"/>
            <w:shd w:val="clear" w:color="auto" w:fill="auto"/>
            <w:noWrap w:val="0"/>
            <w:vAlign w:val="center"/>
          </w:tcPr>
          <w:p w14:paraId="5EE55CCB">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根据随机备品备件的提供情况：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35" w:leftChars="0" w:hanging="235" w:hangingChars="112"/>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eastAsia="zh-CN"/>
              </w:rPr>
              <w:t>依据投标人差异评分</w:t>
            </w:r>
            <w:r>
              <w:rPr>
                <w:rFonts w:hint="eastAsia" w:ascii="仿宋" w:hAnsi="仿宋" w:eastAsia="仿宋" w:cs="仿宋"/>
                <w:snapToGrid w:val="0"/>
                <w:kern w:val="0"/>
                <w:szCs w:val="21"/>
              </w:rPr>
              <w:t>：0-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改造技术方案</w:t>
            </w:r>
          </w:p>
        </w:tc>
        <w:tc>
          <w:tcPr>
            <w:tcW w:w="923" w:type="dxa"/>
            <w:shd w:val="clear" w:color="auto" w:fill="auto"/>
            <w:noWrap w:val="0"/>
            <w:vAlign w:val="center"/>
          </w:tcPr>
          <w:p w14:paraId="6EB45DC0">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根据投标方方案：0-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售后服务</w:t>
            </w:r>
          </w:p>
        </w:tc>
        <w:tc>
          <w:tcPr>
            <w:tcW w:w="923" w:type="dxa"/>
            <w:shd w:val="clear" w:color="auto" w:fill="auto"/>
            <w:noWrap w:val="0"/>
            <w:vAlign w:val="center"/>
          </w:tcPr>
          <w:p w14:paraId="731A94EF">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机构、人员、计划、承诺等，0-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投标保证金交纳时间</w:t>
      </w:r>
      <w:r>
        <w:rPr>
          <w:rFonts w:hint="eastAsia" w:ascii="仿宋" w:hAnsi="仿宋" w:eastAsia="仿宋"/>
          <w:b w:val="0"/>
          <w:bCs w:val="0"/>
          <w:color w:val="000000" w:themeColor="text1"/>
          <w:sz w:val="30"/>
          <w:szCs w:val="30"/>
          <w14:textFill>
            <w14:solidFill>
              <w14:schemeClr w14:val="tx1"/>
            </w14:solidFill>
          </w14:textFill>
        </w:rPr>
        <w:t>：202</w:t>
      </w:r>
      <w:r>
        <w:rPr>
          <w:rFonts w:hint="eastAsia" w:ascii="仿宋" w:hAnsi="仿宋" w:eastAsia="仿宋"/>
          <w:b w:val="0"/>
          <w:bCs w:val="0"/>
          <w:color w:val="000000" w:themeColor="text1"/>
          <w:sz w:val="30"/>
          <w:szCs w:val="30"/>
          <w:lang w:val="en-US" w:eastAsia="zh-CN"/>
          <w14:textFill>
            <w14:solidFill>
              <w14:schemeClr w14:val="tx1"/>
            </w14:solidFill>
          </w14:textFill>
        </w:rPr>
        <w:t>6</w:t>
      </w:r>
      <w:r>
        <w:rPr>
          <w:rFonts w:hint="eastAsia" w:ascii="仿宋" w:hAnsi="仿宋" w:eastAsia="仿宋"/>
          <w:b w:val="0"/>
          <w:bCs w:val="0"/>
          <w:color w:val="000000" w:themeColor="text1"/>
          <w:sz w:val="30"/>
          <w:szCs w:val="30"/>
          <w14:textFill>
            <w14:solidFill>
              <w14:schemeClr w14:val="tx1"/>
            </w14:solidFill>
          </w14:textFill>
        </w:rPr>
        <w:t>年</w:t>
      </w:r>
      <w:r>
        <w:rPr>
          <w:rFonts w:hint="eastAsia" w:ascii="仿宋" w:hAnsi="仿宋" w:eastAsia="仿宋"/>
          <w:b w:val="0"/>
          <w:bCs w:val="0"/>
          <w:color w:val="000000" w:themeColor="text1"/>
          <w:sz w:val="30"/>
          <w:szCs w:val="30"/>
          <w:lang w:val="en-US" w:eastAsia="zh-CN"/>
          <w14:textFill>
            <w14:solidFill>
              <w14:schemeClr w14:val="tx1"/>
            </w14:solidFill>
          </w14:textFill>
        </w:rPr>
        <w:t>7</w:t>
      </w:r>
      <w:r>
        <w:rPr>
          <w:rFonts w:ascii="仿宋" w:hAnsi="仿宋" w:eastAsia="仿宋"/>
          <w:b w:val="0"/>
          <w:bCs w:val="0"/>
          <w:color w:val="000000" w:themeColor="text1"/>
          <w:sz w:val="30"/>
          <w:szCs w:val="30"/>
          <w14:textFill>
            <w14:solidFill>
              <w14:schemeClr w14:val="tx1"/>
            </w14:solidFill>
          </w14:textFill>
        </w:rPr>
        <w:t>月</w:t>
      </w:r>
      <w:r>
        <w:rPr>
          <w:rFonts w:hint="eastAsia" w:ascii="仿宋" w:hAnsi="仿宋" w:eastAsia="仿宋"/>
          <w:b w:val="0"/>
          <w:bCs w:val="0"/>
          <w:color w:val="000000" w:themeColor="text1"/>
          <w:sz w:val="30"/>
          <w:szCs w:val="30"/>
          <w:lang w:val="en-US" w:eastAsia="zh-CN"/>
          <w14:textFill>
            <w14:solidFill>
              <w14:schemeClr w14:val="tx1"/>
            </w14:solidFill>
          </w14:textFill>
        </w:rPr>
        <w:t>16</w:t>
      </w:r>
      <w:r>
        <w:rPr>
          <w:rFonts w:ascii="仿宋" w:hAnsi="仿宋" w:eastAsia="仿宋"/>
          <w:b w:val="0"/>
          <w:bCs w:val="0"/>
          <w:color w:val="000000" w:themeColor="text1"/>
          <w:sz w:val="30"/>
          <w:szCs w:val="30"/>
          <w14:textFill>
            <w14:solidFill>
              <w14:schemeClr w14:val="tx1"/>
            </w14:solidFill>
          </w14:textFill>
        </w:rPr>
        <w:t>日</w:t>
      </w:r>
      <w:r>
        <w:rPr>
          <w:rFonts w:hint="eastAsia" w:ascii="仿宋" w:hAnsi="仿宋" w:eastAsia="仿宋"/>
          <w:b w:val="0"/>
          <w:bCs w:val="0"/>
          <w:color w:val="000000" w:themeColor="text1"/>
          <w:sz w:val="30"/>
          <w:szCs w:val="30"/>
          <w14:textFill>
            <w14:solidFill>
              <w14:schemeClr w14:val="tx1"/>
            </w14:solidFill>
          </w14:textFill>
        </w:rPr>
        <w:t>1</w:t>
      </w:r>
      <w:r>
        <w:rPr>
          <w:rFonts w:hint="eastAsia" w:ascii="仿宋" w:hAnsi="仿宋" w:eastAsia="仿宋"/>
          <w:b w:val="0"/>
          <w:bCs w:val="0"/>
          <w:color w:val="000000" w:themeColor="text1"/>
          <w:sz w:val="30"/>
          <w:szCs w:val="30"/>
          <w:lang w:val="en-US" w:eastAsia="zh-CN"/>
          <w14:textFill>
            <w14:solidFill>
              <w14:schemeClr w14:val="tx1"/>
            </w14:solidFill>
          </w14:textFill>
        </w:rPr>
        <w:t>8</w:t>
      </w:r>
      <w:r>
        <w:rPr>
          <w:rFonts w:hint="eastAsia" w:ascii="仿宋" w:hAnsi="仿宋" w:eastAsia="仿宋"/>
          <w:b w:val="0"/>
          <w:bCs w:val="0"/>
          <w:color w:val="000000" w:themeColor="text1"/>
          <w:sz w:val="30"/>
          <w:szCs w:val="30"/>
          <w14:textFill>
            <w14:solidFill>
              <w14:schemeClr w14:val="tx1"/>
            </w14:solidFill>
          </w14:textFill>
        </w:rPr>
        <w:t>时（北京时间）前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w:t>
      </w:r>
      <w:r>
        <w:rPr>
          <w:rFonts w:hint="eastAsia" w:ascii="仿宋" w:hAnsi="仿宋" w:eastAsia="仿宋"/>
          <w:sz w:val="30"/>
          <w:szCs w:val="30"/>
          <w:lang w:val="en-US" w:eastAsia="zh-CN"/>
        </w:rPr>
        <w:t>洛阳万基铝加工有限公司</w:t>
      </w:r>
      <w:r>
        <w:rPr>
          <w:rFonts w:hint="eastAsia" w:ascii="仿宋" w:hAnsi="仿宋" w:eastAsia="仿宋"/>
          <w:sz w:val="30"/>
          <w:szCs w:val="30"/>
        </w:rPr>
        <w:t>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单位名称：洛阳万基铝加工有限公司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行：中国建设银行股份有限公司洛阳华山路支行</w:t>
      </w:r>
    </w:p>
    <w:p w14:paraId="6A5643C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号：41050168630800002126</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联系电话：0379-6733</w:t>
      </w:r>
      <w:r>
        <w:rPr>
          <w:rFonts w:hint="eastAsia" w:ascii="仿宋" w:hAnsi="仿宋" w:eastAsia="仿宋"/>
          <w:sz w:val="30"/>
          <w:szCs w:val="30"/>
          <w:lang w:val="en-US" w:eastAsia="zh-CN"/>
        </w:rPr>
        <w:t>3582</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万基铝加工铸轧厂保温炉提升式炉门驱动</w:t>
      </w:r>
      <w:r>
        <w:rPr>
          <w:rFonts w:hint="eastAsia" w:ascii="宋体" w:hAnsi="宋体" w:cs="宋体"/>
          <w:b/>
          <w:bCs/>
          <w:color w:val="auto"/>
          <w:sz w:val="44"/>
          <w:szCs w:val="44"/>
          <w:lang w:val="en-US" w:eastAsia="zh-CN"/>
        </w:rPr>
        <w:t>改造</w:t>
      </w:r>
      <w:r>
        <w:rPr>
          <w:rFonts w:hint="eastAsia" w:ascii="宋体" w:hAnsi="宋体" w:eastAsia="宋体" w:cs="宋体"/>
          <w:b/>
          <w:bCs/>
          <w:color w:val="auto"/>
          <w:sz w:val="44"/>
          <w:szCs w:val="44"/>
          <w:lang w:val="en-US" w:eastAsia="zh-CN"/>
        </w:rPr>
        <w:t>项目</w:t>
      </w: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保温炉提升式炉门驱动改造</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6套</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w:t>
      </w:r>
      <w:r>
        <w:rPr>
          <w:rFonts w:hint="eastAsia" w:ascii="仿宋" w:hAnsi="仿宋" w:eastAsia="仿宋" w:cs="仿宋"/>
          <w:b w:val="0"/>
          <w:bCs w:val="0"/>
          <w:color w:val="auto"/>
          <w:sz w:val="30"/>
          <w:szCs w:val="30"/>
          <w:lang w:val="en-US" w:eastAsia="zh-CN"/>
        </w:rPr>
        <w:t>改造完毕</w:t>
      </w:r>
      <w:r>
        <w:rPr>
          <w:rFonts w:hint="eastAsia" w:ascii="仿宋" w:hAnsi="仿宋" w:eastAsia="仿宋" w:cs="仿宋"/>
          <w:b w:val="0"/>
          <w:bCs w:val="0"/>
          <w:color w:val="auto"/>
          <w:sz w:val="30"/>
          <w:szCs w:val="30"/>
          <w:u w:val="none"/>
          <w:lang w:val="en-US" w:eastAsia="zh-CN"/>
        </w:rPr>
        <w:t>；</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改造完毕验收合格，发票验收入账后90个工作日内付款90%，余10%质保金。质保期满没有质量问题时付清，质保期自调试验收合格之日起12个月</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lang w:val="en-US" w:eastAsia="zh-CN"/>
        </w:rPr>
        <w:t>2026年7月17日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18791624"/>
      <w:bookmarkStart w:id="1" w:name="_Toc184955855"/>
      <w:bookmarkStart w:id="2" w:name="_Toc184954197"/>
      <w:bookmarkStart w:id="3" w:name="_Toc184955372"/>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bookmarkStart w:id="7" w:name="_GoBack"/>
      <w:bookmarkEnd w:id="7"/>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_Toc363573174"/>
      <w:bookmarkStart w:id="5" w:name="OLE_LINK2"/>
    </w:p>
    <w:bookmarkEnd w:id="4"/>
    <w:bookmarkEnd w:id="5"/>
    <w:p w14:paraId="1A42A61A">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rPr>
        <w:t>维</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修</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59D1CAB9">
      <w:pPr>
        <w:keepNext w:val="0"/>
        <w:keepLines w:val="0"/>
        <w:pageBreakBefore w:val="0"/>
        <w:widowControl w:val="0"/>
        <w:kinsoku/>
        <w:wordWrap/>
        <w:overflowPunct/>
        <w:topLinePunct w:val="0"/>
        <w:autoSpaceDE/>
        <w:autoSpaceDN/>
        <w:bidi w:val="0"/>
        <w:adjustRightInd/>
        <w:spacing w:line="440" w:lineRule="exact"/>
        <w:ind w:left="-133" w:leftChars="-171" w:hanging="226" w:hangingChars="81"/>
        <w:jc w:val="center"/>
        <w:textAlignment w:val="auto"/>
        <w:rPr>
          <w:rFonts w:hint="eastAsia" w:ascii="仿宋" w:hAnsi="仿宋" w:eastAsia="仿宋"/>
          <w:sz w:val="28"/>
          <w:szCs w:val="28"/>
          <w:lang w:val="en-US" w:eastAsia="zh-CN"/>
        </w:rPr>
      </w:pPr>
      <w:r>
        <w:rPr>
          <w:rFonts w:hint="eastAsia" w:ascii="仿宋" w:hAnsi="仿宋" w:eastAsia="仿宋"/>
          <w:sz w:val="28"/>
          <w:szCs w:val="28"/>
        </w:rPr>
        <w:t>合同编号：</w:t>
      </w:r>
      <w:r>
        <w:rPr>
          <w:rFonts w:hint="eastAsia" w:ascii="仿宋" w:hAnsi="仿宋" w:eastAsia="仿宋"/>
          <w:sz w:val="28"/>
          <w:szCs w:val="28"/>
          <w:lang w:val="en-US" w:eastAsia="zh-CN"/>
        </w:rPr>
        <w:t xml:space="preserve"> </w:t>
      </w:r>
    </w:p>
    <w:p w14:paraId="151E37B2">
      <w:pPr>
        <w:keepNext w:val="0"/>
        <w:keepLines w:val="0"/>
        <w:pageBreakBefore w:val="0"/>
        <w:widowControl w:val="0"/>
        <w:kinsoku/>
        <w:wordWrap/>
        <w:overflowPunct/>
        <w:topLinePunct w:val="0"/>
        <w:autoSpaceDE/>
        <w:autoSpaceDN/>
        <w:bidi w:val="0"/>
        <w:adjustRightInd/>
        <w:spacing w:line="440" w:lineRule="exact"/>
        <w:ind w:left="194" w:hanging="226" w:hangingChars="81"/>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签订时间：</w:t>
      </w:r>
      <w:r>
        <w:rPr>
          <w:rFonts w:hint="eastAsia" w:ascii="仿宋" w:hAnsi="仿宋" w:eastAsia="仿宋"/>
          <w:sz w:val="28"/>
          <w:szCs w:val="28"/>
          <w:lang w:val="en-US" w:eastAsia="zh-CN"/>
        </w:rPr>
        <w:t xml:space="preserve"> </w:t>
      </w:r>
    </w:p>
    <w:p w14:paraId="0D771089">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签订地点：</w:t>
      </w:r>
    </w:p>
    <w:p w14:paraId="663A258C">
      <w:pPr>
        <w:overflowPunct w:val="0"/>
        <w:spacing w:line="460" w:lineRule="exact"/>
        <w:ind w:firstLine="560" w:firstLineChars="200"/>
        <w:rPr>
          <w:rFonts w:hint="eastAsia" w:ascii="仿宋" w:hAnsi="仿宋" w:eastAsia="仿宋" w:cs="仿宋"/>
          <w:bCs/>
          <w:color w:val="000000"/>
          <w:sz w:val="28"/>
          <w:szCs w:val="28"/>
          <w:highlight w:val="none"/>
        </w:rPr>
      </w:pPr>
    </w:p>
    <w:p w14:paraId="3BDB11AD">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eastAsia="zh-CN"/>
        </w:rPr>
        <w:t>甲方</w:t>
      </w:r>
      <w:r>
        <w:rPr>
          <w:rFonts w:hint="eastAsia" w:ascii="仿宋" w:hAnsi="仿宋" w:eastAsia="仿宋" w:cs="仿宋"/>
          <w:bCs/>
          <w:color w:val="000000"/>
          <w:sz w:val="28"/>
          <w:szCs w:val="28"/>
          <w:highlight w:val="none"/>
        </w:rPr>
        <w:t>：</w:t>
      </w:r>
    </w:p>
    <w:p w14:paraId="4D329202">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w:t>
      </w:r>
    </w:p>
    <w:p w14:paraId="5F0C599E">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05CA3B44">
      <w:pPr>
        <w:overflowPunct w:val="0"/>
        <w:spacing w:line="460" w:lineRule="exact"/>
        <w:ind w:firstLine="560" w:firstLineChars="200"/>
        <w:rPr>
          <w:rFonts w:hint="eastAsia" w:ascii="仿宋" w:hAnsi="仿宋" w:eastAsia="仿宋" w:cs="仿宋"/>
          <w:bCs/>
          <w:color w:val="000000"/>
          <w:sz w:val="28"/>
          <w:szCs w:val="28"/>
          <w:highlight w:val="none"/>
        </w:rPr>
      </w:pPr>
    </w:p>
    <w:p w14:paraId="16546E16">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eastAsia="zh-CN"/>
        </w:rPr>
        <w:t>乙方</w:t>
      </w:r>
      <w:r>
        <w:rPr>
          <w:rFonts w:hint="eastAsia" w:ascii="仿宋" w:hAnsi="仿宋" w:eastAsia="仿宋" w:cs="仿宋"/>
          <w:bCs/>
          <w:color w:val="000000"/>
          <w:sz w:val="28"/>
          <w:szCs w:val="28"/>
          <w:highlight w:val="none"/>
        </w:rPr>
        <w:t>：</w:t>
      </w:r>
      <w:bookmarkStart w:id="6" w:name="OLE_LINK3"/>
      <w:r>
        <w:rPr>
          <w:rFonts w:hint="eastAsia" w:ascii="仿宋" w:hAnsi="仿宋" w:eastAsia="仿宋" w:cs="仿宋"/>
          <w:bCs/>
          <w:color w:val="000000"/>
          <w:sz w:val="28"/>
          <w:szCs w:val="28"/>
          <w:highlight w:val="none"/>
          <w:lang w:val="en-US" w:eastAsia="zh-CN"/>
        </w:rPr>
        <w:t xml:space="preserve">  </w:t>
      </w:r>
      <w:bookmarkEnd w:id="6"/>
    </w:p>
    <w:p w14:paraId="69F4CF2C">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法定代表人：</w:t>
      </w:r>
    </w:p>
    <w:p w14:paraId="1B41B27E">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0DB26C0E">
      <w:pPr>
        <w:overflowPunct w:val="0"/>
        <w:spacing w:line="460" w:lineRule="exact"/>
        <w:rPr>
          <w:rFonts w:hint="default" w:ascii="仿宋" w:hAnsi="仿宋" w:eastAsia="仿宋" w:cs="仿宋"/>
          <w:bCs/>
          <w:color w:val="000000"/>
          <w:sz w:val="28"/>
          <w:szCs w:val="28"/>
          <w:highlight w:val="none"/>
          <w:lang w:val="en-US"/>
        </w:rPr>
      </w:pPr>
    </w:p>
    <w:p w14:paraId="2D6D58DD">
      <w:pPr>
        <w:keepNext w:val="0"/>
        <w:keepLines w:val="0"/>
        <w:pageBreakBefore w:val="0"/>
        <w:widowControl w:val="0"/>
        <w:kinsoku/>
        <w:wordWrap/>
        <w:overflowPunct/>
        <w:topLinePunct w:val="0"/>
        <w:autoSpaceDE/>
        <w:autoSpaceDN/>
        <w:bidi w:val="0"/>
        <w:adjustRightInd/>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rPr>
        <w:t>根据《中华人民共和国民法典》等法律、法规的规定，</w:t>
      </w:r>
      <w:r>
        <w:rPr>
          <w:rFonts w:hint="eastAsia" w:ascii="仿宋" w:hAnsi="仿宋" w:eastAsia="仿宋"/>
          <w:sz w:val="28"/>
          <w:szCs w:val="28"/>
          <w:lang w:eastAsia="zh-CN"/>
        </w:rPr>
        <w:t>甲乙双方</w:t>
      </w:r>
      <w:r>
        <w:rPr>
          <w:rFonts w:hint="eastAsia" w:ascii="仿宋" w:hAnsi="仿宋" w:eastAsia="仿宋"/>
          <w:sz w:val="28"/>
          <w:szCs w:val="28"/>
        </w:rPr>
        <w:t>本着平等互利、诚实</w:t>
      </w:r>
      <w:r>
        <w:rPr>
          <w:rFonts w:hint="eastAsia" w:ascii="仿宋" w:hAnsi="仿宋" w:eastAsia="仿宋"/>
          <w:sz w:val="28"/>
          <w:szCs w:val="28"/>
          <w:lang w:val="en-US" w:eastAsia="zh-CN"/>
        </w:rPr>
        <w:t>守信</w:t>
      </w:r>
      <w:r>
        <w:rPr>
          <w:rFonts w:hint="eastAsia" w:ascii="仿宋" w:hAnsi="仿宋" w:eastAsia="仿宋"/>
          <w:sz w:val="28"/>
          <w:szCs w:val="28"/>
        </w:rPr>
        <w:t>的原则，就</w:t>
      </w:r>
      <w:r>
        <w:rPr>
          <w:rFonts w:hint="eastAsia" w:ascii="仿宋" w:hAnsi="仿宋" w:eastAsia="仿宋"/>
          <w:sz w:val="28"/>
          <w:szCs w:val="28"/>
          <w:lang w:val="en-US" w:eastAsia="zh-CN"/>
        </w:rPr>
        <w:t>**维修</w:t>
      </w:r>
      <w:r>
        <w:rPr>
          <w:rFonts w:hint="eastAsia" w:ascii="仿宋" w:hAnsi="仿宋" w:eastAsia="仿宋"/>
          <w:sz w:val="28"/>
          <w:szCs w:val="28"/>
        </w:rPr>
        <w:t>事宜，</w:t>
      </w:r>
      <w:r>
        <w:rPr>
          <w:rFonts w:hint="eastAsia" w:ascii="仿宋" w:hAnsi="仿宋" w:eastAsia="仿宋" w:cs="Times New Roman"/>
          <w:sz w:val="28"/>
          <w:szCs w:val="28"/>
          <w:highlight w:val="none"/>
          <w:lang w:val="en-US" w:eastAsia="zh-CN"/>
        </w:rPr>
        <w:t>根据万基控股集团**定标单（编号：******）</w:t>
      </w:r>
      <w:r>
        <w:rPr>
          <w:rFonts w:hint="eastAsia" w:ascii="仿宋" w:hAnsi="仿宋" w:eastAsia="仿宋"/>
          <w:sz w:val="28"/>
          <w:szCs w:val="28"/>
          <w:lang w:val="en-US" w:eastAsia="zh-CN"/>
        </w:rPr>
        <w:t>，</w:t>
      </w:r>
      <w:r>
        <w:rPr>
          <w:rFonts w:hint="eastAsia" w:ascii="仿宋" w:hAnsi="仿宋" w:eastAsia="仿宋"/>
          <w:sz w:val="28"/>
          <w:szCs w:val="28"/>
        </w:rPr>
        <w:t>达成如下协议：</w:t>
      </w:r>
      <w:r>
        <w:rPr>
          <w:rFonts w:hint="eastAsia" w:ascii="仿宋" w:hAnsi="仿宋" w:eastAsia="仿宋"/>
          <w:color w:val="0000FF"/>
          <w:sz w:val="28"/>
          <w:szCs w:val="28"/>
          <w:lang w:eastAsia="zh-CN"/>
        </w:rPr>
        <w:t>（</w:t>
      </w:r>
      <w:r>
        <w:rPr>
          <w:rFonts w:hint="eastAsia" w:ascii="仿宋" w:hAnsi="仿宋" w:eastAsia="仿宋"/>
          <w:color w:val="0000FF"/>
          <w:sz w:val="28"/>
          <w:szCs w:val="28"/>
          <w:lang w:val="en-US" w:eastAsia="zh-CN"/>
        </w:rPr>
        <w:t>非招标不适用定标单</w:t>
      </w:r>
      <w:r>
        <w:rPr>
          <w:rFonts w:hint="eastAsia" w:ascii="仿宋" w:hAnsi="仿宋" w:eastAsia="仿宋"/>
          <w:color w:val="0000FF"/>
          <w:sz w:val="28"/>
          <w:szCs w:val="28"/>
          <w:lang w:eastAsia="zh-CN"/>
        </w:rPr>
        <w:t>）</w:t>
      </w:r>
    </w:p>
    <w:p w14:paraId="4ECA787A">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第一条、维修物资名称、规格型号、单位、数量、单价及总金额：</w:t>
      </w:r>
    </w:p>
    <w:tbl>
      <w:tblPr>
        <w:tblStyle w:val="45"/>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13"/>
        <w:gridCol w:w="1787"/>
        <w:gridCol w:w="957"/>
        <w:gridCol w:w="956"/>
        <w:gridCol w:w="1576"/>
        <w:gridCol w:w="1536"/>
        <w:gridCol w:w="812"/>
      </w:tblGrid>
      <w:tr w14:paraId="33C8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11" w:type="dxa"/>
            <w:noWrap w:val="0"/>
            <w:vAlign w:val="center"/>
          </w:tcPr>
          <w:p w14:paraId="3A134E7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序号</w:t>
            </w:r>
          </w:p>
        </w:tc>
        <w:tc>
          <w:tcPr>
            <w:tcW w:w="1913" w:type="dxa"/>
            <w:noWrap w:val="0"/>
            <w:vAlign w:val="center"/>
          </w:tcPr>
          <w:p w14:paraId="05C8814C">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维修内容</w:t>
            </w:r>
          </w:p>
        </w:tc>
        <w:tc>
          <w:tcPr>
            <w:tcW w:w="1787" w:type="dxa"/>
            <w:noWrap w:val="0"/>
            <w:vAlign w:val="center"/>
          </w:tcPr>
          <w:p w14:paraId="1101BCF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规格型号</w:t>
            </w:r>
          </w:p>
        </w:tc>
        <w:tc>
          <w:tcPr>
            <w:tcW w:w="957" w:type="dxa"/>
            <w:noWrap w:val="0"/>
            <w:vAlign w:val="center"/>
          </w:tcPr>
          <w:p w14:paraId="3554632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单位</w:t>
            </w:r>
          </w:p>
        </w:tc>
        <w:tc>
          <w:tcPr>
            <w:tcW w:w="956" w:type="dxa"/>
            <w:noWrap w:val="0"/>
            <w:vAlign w:val="center"/>
          </w:tcPr>
          <w:p w14:paraId="3A2C4D1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数量</w:t>
            </w:r>
          </w:p>
        </w:tc>
        <w:tc>
          <w:tcPr>
            <w:tcW w:w="1576" w:type="dxa"/>
            <w:noWrap w:val="0"/>
            <w:vAlign w:val="center"/>
          </w:tcPr>
          <w:p w14:paraId="27EBBFEC">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单价（元）</w:t>
            </w:r>
          </w:p>
        </w:tc>
        <w:tc>
          <w:tcPr>
            <w:tcW w:w="1536" w:type="dxa"/>
            <w:noWrap w:val="0"/>
            <w:vAlign w:val="center"/>
          </w:tcPr>
          <w:p w14:paraId="70834B5D">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总价（元）</w:t>
            </w:r>
          </w:p>
        </w:tc>
        <w:tc>
          <w:tcPr>
            <w:tcW w:w="812" w:type="dxa"/>
            <w:noWrap w:val="0"/>
            <w:vAlign w:val="center"/>
          </w:tcPr>
          <w:p w14:paraId="2D7B79BC">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备注</w:t>
            </w:r>
          </w:p>
        </w:tc>
      </w:tr>
      <w:tr w14:paraId="0C00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811" w:type="dxa"/>
            <w:noWrap w:val="0"/>
            <w:vAlign w:val="center"/>
          </w:tcPr>
          <w:p w14:paraId="58B804F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w:t>
            </w:r>
          </w:p>
        </w:tc>
        <w:tc>
          <w:tcPr>
            <w:tcW w:w="1913" w:type="dxa"/>
            <w:noWrap w:val="0"/>
            <w:vAlign w:val="center"/>
          </w:tcPr>
          <w:p w14:paraId="5F4D3B5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3F957CB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1FF713F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0CF5B31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1A6C66C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3B0C733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restart"/>
            <w:noWrap w:val="0"/>
            <w:vAlign w:val="center"/>
          </w:tcPr>
          <w:p w14:paraId="0AA62D7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5C8F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811" w:type="dxa"/>
            <w:noWrap w:val="0"/>
            <w:vAlign w:val="center"/>
          </w:tcPr>
          <w:p w14:paraId="61FEC3E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8"/>
                <w:szCs w:val="28"/>
                <w:lang w:val="en-US" w:eastAsia="zh-CN"/>
              </w:rPr>
              <w:t>2</w:t>
            </w:r>
          </w:p>
        </w:tc>
        <w:tc>
          <w:tcPr>
            <w:tcW w:w="1913" w:type="dxa"/>
            <w:noWrap w:val="0"/>
            <w:vAlign w:val="center"/>
          </w:tcPr>
          <w:p w14:paraId="4734DA1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1FFF0AD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0ACBCB0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2373326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4093EF0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2C412B9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continue"/>
            <w:noWrap w:val="0"/>
            <w:vAlign w:val="center"/>
          </w:tcPr>
          <w:p w14:paraId="73CDCAA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7A16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10348" w:type="dxa"/>
            <w:gridSpan w:val="8"/>
            <w:noWrap w:val="0"/>
            <w:vAlign w:val="center"/>
          </w:tcPr>
          <w:p w14:paraId="759F649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不含税金额：    元                     税率：          税额：       元</w:t>
            </w:r>
          </w:p>
        </w:tc>
      </w:tr>
      <w:tr w14:paraId="2AC1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0348" w:type="dxa"/>
            <w:gridSpan w:val="8"/>
            <w:noWrap w:val="0"/>
            <w:vAlign w:val="center"/>
          </w:tcPr>
          <w:p w14:paraId="2076C4F1">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合计金额人民币大写：                               ￥：         元</w:t>
            </w:r>
          </w:p>
        </w:tc>
      </w:tr>
      <w:tr w14:paraId="5247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435CC297">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维修时间：合同签订后X个工作日内维修完成。</w:t>
            </w:r>
            <w:r>
              <w:rPr>
                <w:rFonts w:hint="eastAsia" w:ascii="仿宋" w:hAnsi="仿宋" w:eastAsia="仿宋" w:cs="Times New Roman"/>
                <w:color w:val="0000FF"/>
                <w:sz w:val="28"/>
                <w:szCs w:val="28"/>
                <w:lang w:val="en-US" w:eastAsia="zh-CN"/>
              </w:rPr>
              <w:t>（根据中标或协商结果明确约定期限，若涉及拉走维修需明确返回时间）</w:t>
            </w:r>
          </w:p>
          <w:p w14:paraId="5E38DD20">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宋体" w:cs="Times New Roman"/>
                <w:color w:val="0000FF"/>
                <w:sz w:val="28"/>
                <w:szCs w:val="28"/>
                <w:lang w:val="en-US" w:eastAsia="zh-CN"/>
              </w:rPr>
            </w:pP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合同</w:t>
            </w: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含</w:t>
            </w:r>
            <w:r>
              <w:rPr>
                <w:rFonts w:hint="eastAsia" w:ascii="仿宋" w:hAnsi="仿宋" w:eastAsia="仿宋" w:cs="Times New Roman"/>
                <w:color w:val="auto"/>
                <w:sz w:val="28"/>
                <w:szCs w:val="28"/>
                <w:lang w:val="en-US" w:eastAsia="zh-CN"/>
              </w:rPr>
              <w:t>合同</w:t>
            </w:r>
            <w:r>
              <w:rPr>
                <w:rFonts w:hint="eastAsia" w:ascii="仿宋" w:hAnsi="仿宋" w:eastAsia="仿宋" w:cs="Times New Roman"/>
                <w:color w:val="auto"/>
                <w:sz w:val="28"/>
                <w:szCs w:val="28"/>
              </w:rPr>
              <w:t>设备</w:t>
            </w:r>
            <w:r>
              <w:rPr>
                <w:rFonts w:hint="eastAsia" w:ascii="仿宋" w:hAnsi="仿宋" w:eastAsia="仿宋" w:cs="Times New Roman"/>
                <w:color w:val="auto"/>
                <w:sz w:val="28"/>
                <w:szCs w:val="28"/>
                <w:lang w:val="en-US" w:eastAsia="zh-CN"/>
              </w:rPr>
              <w:t>维修</w:t>
            </w:r>
            <w:r>
              <w:rPr>
                <w:rFonts w:hint="eastAsia" w:ascii="仿宋" w:hAnsi="仿宋" w:eastAsia="仿宋" w:cs="Times New Roman"/>
                <w:color w:val="auto"/>
                <w:sz w:val="28"/>
                <w:szCs w:val="28"/>
              </w:rPr>
              <w:t>费</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lang w:val="en-US" w:eastAsia="zh-CN"/>
              </w:rPr>
              <w:t>人工费、材料费、</w:t>
            </w:r>
            <w:r>
              <w:rPr>
                <w:rFonts w:hint="eastAsia" w:ascii="仿宋" w:hAnsi="仿宋" w:eastAsia="仿宋" w:cs="Times New Roman"/>
                <w:bCs w:val="0"/>
                <w:color w:val="auto"/>
                <w:sz w:val="28"/>
                <w:szCs w:val="28"/>
              </w:rPr>
              <w:t>设计费、技术资料费、技术服务费</w:t>
            </w:r>
            <w:r>
              <w:rPr>
                <w:rFonts w:hint="eastAsia" w:ascii="仿宋" w:hAnsi="仿宋" w:eastAsia="仿宋" w:cs="Times New Roman"/>
                <w:bCs w:val="0"/>
                <w:color w:val="auto"/>
                <w:sz w:val="28"/>
                <w:szCs w:val="28"/>
                <w:lang w:eastAsia="zh-CN"/>
              </w:rPr>
              <w:t>、</w:t>
            </w:r>
            <w:r>
              <w:rPr>
                <w:rFonts w:hint="eastAsia" w:ascii="仿宋" w:hAnsi="仿宋" w:eastAsia="仿宋" w:cs="Times New Roman"/>
                <w:bCs w:val="0"/>
                <w:color w:val="auto"/>
                <w:sz w:val="28"/>
                <w:szCs w:val="28"/>
              </w:rPr>
              <w:t>安装费、</w:t>
            </w:r>
            <w:r>
              <w:rPr>
                <w:rFonts w:hint="eastAsia" w:ascii="仿宋" w:hAnsi="仿宋" w:eastAsia="仿宋" w:cs="Times New Roman"/>
                <w:bCs w:val="0"/>
                <w:color w:val="auto"/>
                <w:sz w:val="28"/>
                <w:szCs w:val="28"/>
                <w:lang w:val="en-US" w:eastAsia="zh-CN"/>
              </w:rPr>
              <w:t>调试费、</w:t>
            </w:r>
            <w:r>
              <w:rPr>
                <w:rFonts w:hint="eastAsia" w:ascii="仿宋" w:hAnsi="仿宋" w:eastAsia="仿宋" w:cs="Times New Roman"/>
                <w:bCs w:val="0"/>
                <w:color w:val="auto"/>
                <w:sz w:val="28"/>
                <w:szCs w:val="28"/>
              </w:rPr>
              <w:t>培训费、设备的包装费、装车费、卸车费、运输费、运输保险费、各种杂费、税费及与本合同有关的所有费用</w:t>
            </w:r>
            <w:r>
              <w:rPr>
                <w:rFonts w:hint="eastAsia" w:ascii="仿宋" w:hAnsi="仿宋" w:eastAsia="仿宋" w:cs="Times New Roman"/>
                <w:bCs w:val="0"/>
                <w:color w:val="auto"/>
                <w:sz w:val="28"/>
                <w:szCs w:val="28"/>
                <w:lang w:eastAsia="zh-CN"/>
              </w:rPr>
              <w:t>。</w:t>
            </w:r>
            <w:r>
              <w:rPr>
                <w:rFonts w:hint="eastAsia" w:ascii="仿宋" w:hAnsi="仿宋" w:eastAsia="仿宋" w:cs="Times New Roman"/>
                <w:color w:val="0000FF"/>
                <w:sz w:val="28"/>
                <w:szCs w:val="28"/>
                <w:lang w:eastAsia="zh-CN"/>
              </w:rPr>
              <w:t>（</w:t>
            </w:r>
            <w:r>
              <w:rPr>
                <w:rFonts w:hint="eastAsia" w:ascii="仿宋" w:hAnsi="仿宋" w:eastAsia="仿宋" w:cs="Times New Roman"/>
                <w:color w:val="0000FF"/>
                <w:sz w:val="28"/>
                <w:szCs w:val="28"/>
                <w:lang w:val="en-US" w:eastAsia="zh-CN"/>
              </w:rPr>
              <w:t>依据实际调整价格包含内容，明确不涉及或有冲突的可删除、修改，除此范围外需求的需增加</w:t>
            </w:r>
            <w:r>
              <w:rPr>
                <w:rFonts w:hint="eastAsia" w:ascii="仿宋" w:hAnsi="仿宋" w:eastAsia="仿宋" w:cs="Times New Roman"/>
                <w:color w:val="0000FF"/>
                <w:sz w:val="28"/>
                <w:szCs w:val="28"/>
                <w:lang w:eastAsia="zh-CN"/>
              </w:rPr>
              <w:t>）</w:t>
            </w:r>
          </w:p>
        </w:tc>
      </w:tr>
    </w:tbl>
    <w:p w14:paraId="00E2436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第二条、维修质量要求、技术标准</w:t>
      </w:r>
      <w:r>
        <w:rPr>
          <w:rFonts w:hint="eastAsia" w:ascii="仿宋" w:hAnsi="仿宋" w:eastAsia="仿宋" w:cs="Times New Roman"/>
          <w:color w:val="auto"/>
          <w:sz w:val="28"/>
          <w:szCs w:val="28"/>
          <w:lang w:val="en-US" w:eastAsia="zh-CN"/>
        </w:rPr>
        <w:t>：</w:t>
      </w:r>
    </w:p>
    <w:p w14:paraId="62BF968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0000FF"/>
          <w:sz w:val="28"/>
          <w:szCs w:val="28"/>
          <w:lang w:val="en-US" w:eastAsia="zh-CN"/>
        </w:rPr>
        <w:t>1、按照双方签订的技术协议或技术指标文件执行。（业务部门确定，必须明确、具体）</w:t>
      </w:r>
    </w:p>
    <w:p w14:paraId="3D96BDD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甲方对维修所供备件有明确要求的，乙方应按约定供应。无论何时发现乙方所供产品不符合甲方规定的质量标准及规格要求的，乙方应于接到甲方质量异常反馈之日起3日内，向甲方提交书面回复，并承担因此产生的全部损失。若乙方未按前述期限提交书面回复的，甲方有权要求乙方按照质量异常产品总价值3‰-5‰的标准/次支付违约金。若乙方累计三次逾期未回复或连续两次出现同类质量问题的，甲方有权立即解除合同。</w:t>
      </w:r>
    </w:p>
    <w:p w14:paraId="5034E3F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乙方存在维修质量不合格、弄虚作假、掺杂使假、以次充好、偷工减料、商业欺诈、隐瞒产品质量隐患、供应变质及假冒伪劣产品或备件、放任不合格品流入甲方、故意伪造或篡改质量和维修记录及报告等不诚信行为，一经甲方发现，甲方有权立即解除合同，且要求乙方退回甲方就维修问题部分、问题货物已支付的全部款项；甲方还有权要求乙方支付违约金（计算标准为：维修问题部分、问题货物总额的5倍或合同总额的30%，二者取较高值），除此之外，乙方还应承担前述行为造成的全部损失赔偿责任。</w:t>
      </w:r>
    </w:p>
    <w:p w14:paraId="232ACDA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三、质保期及质保责任：</w:t>
      </w:r>
    </w:p>
    <w:p w14:paraId="049A5D1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1、乙方对甲方设备维修及校验后，应满足甲方使用要求，质保期内合同设备维修及校验完毕，经甲方验收合格之日起12个月满。</w:t>
      </w:r>
      <w:r>
        <w:rPr>
          <w:rFonts w:hint="eastAsia" w:ascii="仿宋" w:hAnsi="仿宋" w:eastAsia="仿宋" w:cs="Times New Roman"/>
          <w:color w:val="0000FF"/>
          <w:sz w:val="28"/>
          <w:szCs w:val="28"/>
          <w:lang w:val="en-US" w:eastAsia="zh-CN"/>
        </w:rPr>
        <w:t>（特殊情况可调整，根据实际补充完整，要求写明起算时间和期限）</w:t>
      </w:r>
    </w:p>
    <w:p w14:paraId="0D381DF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2、乙方对设备质量免费维护，包括但不限于免费上门、免费更换零部件、免费重新维修等；如因乙方维修原因造成甲方损失的，同时应赔偿损失，更换后的产品重新计算质保期。</w:t>
      </w:r>
    </w:p>
    <w:p w14:paraId="5D6D542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四、维修方式及地点：</w:t>
      </w:r>
    </w:p>
    <w:p w14:paraId="60C02F1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乙方到甲方现场维修及校验</w:t>
      </w:r>
      <w:r>
        <w:rPr>
          <w:rFonts w:hint="eastAsia" w:ascii="仿宋" w:hAnsi="仿宋" w:eastAsia="仿宋" w:cs="Times New Roman"/>
          <w:color w:val="0000FF"/>
          <w:sz w:val="28"/>
          <w:szCs w:val="28"/>
          <w:lang w:val="en-US" w:eastAsia="zh-CN"/>
        </w:rPr>
        <w:t>（如乙方将设备拉走维修校验，需增加：维修完成后负责运回至甲方处并办理设备交接手续）</w:t>
      </w:r>
      <w:r>
        <w:rPr>
          <w:rFonts w:hint="eastAsia" w:ascii="仿宋" w:hAnsi="仿宋" w:eastAsia="仿宋" w:cs="Times New Roman"/>
          <w:color w:val="auto"/>
          <w:sz w:val="28"/>
          <w:szCs w:val="28"/>
          <w:lang w:val="en-US" w:eastAsia="zh-CN"/>
        </w:rPr>
        <w:t>，维修及校验所需物资、运输、维修前后装卸等全部费用由乙方负责，且已包含在合同单价中。乙方需对运输过程中的设备安全负责，若出现设备损坏、丢失、第三方损失等，需承担赔偿责任。</w:t>
      </w:r>
    </w:p>
    <w:p w14:paraId="721AF00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五、验收标准及提出异议的期限：</w:t>
      </w:r>
    </w:p>
    <w:p w14:paraId="735D185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1、维修结束后</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**】日内甲方</w:t>
      </w:r>
      <w:r>
        <w:rPr>
          <w:rFonts w:hint="eastAsia" w:ascii="仿宋" w:hAnsi="仿宋" w:eastAsia="仿宋" w:cs="Arial"/>
          <w:bCs/>
          <w:color w:val="auto"/>
          <w:sz w:val="28"/>
          <w:szCs w:val="28"/>
          <w:highlight w:val="none"/>
        </w:rPr>
        <w:t>按本合同的第二条标准验收</w:t>
      </w:r>
      <w:r>
        <w:rPr>
          <w:rFonts w:hint="eastAsia" w:ascii="仿宋" w:hAnsi="仿宋" w:eastAsia="仿宋" w:cs="Times New Roman"/>
          <w:color w:val="auto"/>
          <w:sz w:val="28"/>
          <w:szCs w:val="28"/>
          <w:lang w:val="en-US" w:eastAsia="zh-CN"/>
        </w:rPr>
        <w:t>，该验收</w:t>
      </w:r>
      <w:r>
        <w:rPr>
          <w:rFonts w:hint="eastAsia" w:ascii="仿宋" w:hAnsi="仿宋" w:eastAsia="仿宋"/>
          <w:sz w:val="28"/>
          <w:szCs w:val="28"/>
          <w:lang w:val="en-US" w:eastAsia="zh-CN"/>
        </w:rPr>
        <w:t>并不免除乙方日后经甲方或第三方检验不合格的责任。</w:t>
      </w:r>
      <w:r>
        <w:rPr>
          <w:rFonts w:hint="eastAsia" w:ascii="仿宋" w:hAnsi="仿宋" w:eastAsia="仿宋" w:cs="Times New Roman"/>
          <w:color w:val="auto"/>
          <w:sz w:val="28"/>
          <w:szCs w:val="28"/>
          <w:lang w:val="en-US" w:eastAsia="zh-CN"/>
        </w:rPr>
        <w:t>甲方提出异议的期限为甲方验收合格之日起至质保期满，以电话、书面形式或电子邮件向乙方提出。</w:t>
      </w:r>
    </w:p>
    <w:p w14:paraId="39E9E70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质保期内，若乙方接到甲方就有关维修质量异议的通知后4小时内无书面答复或怠于处理的视为认可异议内容，除按合同第三款承担质保责任外，还应向甲方支付合同总金额30%的违约金，同时甲方有权自行或联系第三方处理，产生的费用由乙方全部承担。</w:t>
      </w:r>
    </w:p>
    <w:p w14:paraId="1E9AF61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六、结算方式和付款时间：</w:t>
      </w:r>
    </w:p>
    <w:p w14:paraId="15F27AD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1、结算方式为银行电汇或银行承兑汇票。设备维修及校验完毕,经甲方使用合格且达到技术要求后，由甲方出具验收合格报告一份，乙方向甲方开具合同总价税率为13%</w:t>
      </w:r>
      <w:r>
        <w:rPr>
          <w:rFonts w:hint="eastAsia" w:ascii="仿宋" w:hAnsi="仿宋" w:eastAsia="仿宋" w:cs="仿宋"/>
          <w:b w:val="0"/>
          <w:bCs w:val="0"/>
          <w:color w:val="auto"/>
          <w:spacing w:val="-23"/>
          <w:w w:val="113"/>
          <w:sz w:val="28"/>
          <w:szCs w:val="28"/>
          <w:u w:val="single" w:color="FFFFFF"/>
          <w:lang w:val="en-US" w:eastAsia="zh-CN"/>
        </w:rPr>
        <w:t>符合税法要求的</w:t>
      </w:r>
      <w:r>
        <w:rPr>
          <w:rFonts w:hint="eastAsia" w:ascii="仿宋" w:hAnsi="仿宋" w:eastAsia="仿宋" w:cs="Times New Roman"/>
          <w:color w:val="auto"/>
          <w:sz w:val="28"/>
          <w:szCs w:val="28"/>
          <w:lang w:val="en-US" w:eastAsia="zh-CN"/>
        </w:rPr>
        <w:t>增值税专用发票，甲方收到审核无误后10个工作日之内入账，自入账之日起90个工作日内支付相应款项。</w:t>
      </w:r>
    </w:p>
    <w:p w14:paraId="5180C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cs="Times New Roman"/>
          <w:color w:val="auto"/>
          <w:sz w:val="28"/>
          <w:szCs w:val="28"/>
          <w:lang w:val="en-US" w:eastAsia="zh-CN"/>
        </w:rPr>
        <w:t>2、</w:t>
      </w:r>
      <w:r>
        <w:rPr>
          <w:rFonts w:hint="eastAsia" w:ascii="仿宋" w:hAnsi="仿宋" w:eastAsia="仿宋" w:cs="仿宋"/>
          <w:b w:val="0"/>
          <w:bCs/>
          <w:kern w:val="2"/>
          <w:sz w:val="28"/>
          <w:szCs w:val="28"/>
          <w:lang w:val="en-US" w:eastAsia="zh-CN" w:bidi="ar-SA"/>
        </w:rPr>
        <w:t>如因乙方提供发票不合规导致甲方补缴税款、滞纳金、罚款等其他相关损失的，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w:t>
      </w:r>
      <w:r>
        <w:rPr>
          <w:rFonts w:hint="eastAsia" w:ascii="仿宋" w:hAnsi="仿宋" w:eastAsia="仿宋" w:cs="仿宋"/>
          <w:sz w:val="28"/>
          <w:szCs w:val="28"/>
          <w:lang w:val="en-US" w:eastAsia="zh-CN"/>
        </w:rPr>
        <w:t>30</w:t>
      </w:r>
      <w:r>
        <w:rPr>
          <w:rFonts w:hint="default" w:ascii="仿宋" w:hAnsi="仿宋" w:eastAsia="仿宋" w:cs="仿宋"/>
          <w:sz w:val="28"/>
          <w:szCs w:val="28"/>
          <w:lang w:val="en-US" w:eastAsia="zh-CN"/>
        </w:rPr>
        <w:t>%的违约金，违约金不足以弥补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r>
        <w:rPr>
          <w:rFonts w:hint="eastAsia" w:ascii="仿宋" w:hAnsi="仿宋" w:eastAsia="仿宋"/>
          <w:sz w:val="28"/>
          <w:szCs w:val="28"/>
          <w:lang w:val="en-US" w:eastAsia="zh-CN"/>
        </w:rPr>
        <w:t>。</w:t>
      </w:r>
    </w:p>
    <w:p w14:paraId="62D3D1C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3、乙方因本合同产生的违约金及损失赔偿金甲方有权从保证金或应付款中 直接扣除。</w:t>
      </w:r>
    </w:p>
    <w:p w14:paraId="34A728B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七、违约责任：</w:t>
      </w:r>
    </w:p>
    <w:p w14:paraId="5CE0F31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1、乙方每延期一天维修完成应向甲方支付合同总价的0.5%作为违约金，超过7天甲方可单方解除合同。</w:t>
      </w:r>
    </w:p>
    <w:p w14:paraId="37D9D7E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2、因甲方原因导致未能在规定的期限内付清货款，逾期后双方应先协商解决，如协商未果，经诉讼程序解决的，甲方应当依据合同订立时1年期贷款市场报价利率向乙方支付逾期付款利息。</w:t>
      </w:r>
    </w:p>
    <w:p w14:paraId="22C6557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3、若乙方所维修及校验费用、提供的备品备件等维修所需货物价格高于市场价格或乙方同行业价格或甲方同行业价格20%以上且无法做出合理解释的，乙方应向甲方支付差价2倍的违约金和合同总额10%违约金</w:t>
      </w:r>
      <w:r>
        <w:rPr>
          <w:rFonts w:hint="eastAsia" w:ascii="仿宋" w:hAnsi="仿宋" w:eastAsia="仿宋" w:cs="仿宋"/>
          <w:color w:val="auto"/>
          <w:spacing w:val="2"/>
          <w:sz w:val="28"/>
          <w:szCs w:val="28"/>
          <w:lang w:val="en-US" w:eastAsia="zh-CN"/>
        </w:rPr>
        <w:t>的数额之和</w:t>
      </w:r>
      <w:r>
        <w:rPr>
          <w:rFonts w:hint="eastAsia" w:ascii="仿宋" w:hAnsi="仿宋" w:eastAsia="仿宋" w:cs="Times New Roman"/>
          <w:color w:val="auto"/>
          <w:sz w:val="28"/>
          <w:szCs w:val="28"/>
          <w:lang w:val="en-US" w:eastAsia="zh-CN"/>
        </w:rPr>
        <w:t>，甲方有权单方终止合同且不承担任何责任。</w:t>
      </w:r>
    </w:p>
    <w:p w14:paraId="70BF4F1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若由于乙方原因使所维修设备或甲方相关配套设备受损或者报废，甲方有权立即解除合同，乙方需按设备价值赔偿甲方，影响甲方生产的，同时应承担因此造成的甲方生产经济损失，并按本合同约定承担违约责任。</w:t>
      </w:r>
    </w:p>
    <w:p w14:paraId="056859A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5、因乙方违约原因甲方暂停支付货款的，甲方不承担任何逾期付款责任。</w:t>
      </w:r>
    </w:p>
    <w:p w14:paraId="5723C4F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6、未经甲方书面同意，乙方不得将本合同权利义务转让给任何第三方，乙方违反本条约定擅自转让的，乙方应按双方最终结算价款总额的30%向甲方支付违约金。</w:t>
      </w:r>
    </w:p>
    <w:p w14:paraId="7DB7502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val="en-US" w:eastAsia="zh-CN"/>
        </w:rPr>
        <w:t>7、乙方保证其为本合同项下维修服务所需设备、材料、技术及服务的合法提供者，拥有完整权利与甲方签订并履行本合同。</w:t>
      </w:r>
      <w:r>
        <w:rPr>
          <w:rFonts w:hint="default" w:ascii="仿宋" w:hAnsi="仿宋" w:eastAsia="仿宋" w:cs="仿宋"/>
          <w:sz w:val="28"/>
          <w:szCs w:val="28"/>
          <w:lang w:val="en-US" w:eastAsia="zh-CN"/>
        </w:rPr>
        <w:t>如果</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受到任何第三方的侵权指控，由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负责与第三方交涉处理，并承担一切由此引起的法律上和经济上的责任，从而使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免受由于第三方索赔从法律及经济责任上所造成的损害，如因此造成</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直接与间接损失的，由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承担全部赔偿责任。</w:t>
      </w:r>
    </w:p>
    <w:p w14:paraId="5F597FA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default" w:ascii="仿宋" w:hAnsi="仿宋" w:eastAsia="仿宋" w:cs="仿宋"/>
          <w:sz w:val="28"/>
          <w:szCs w:val="28"/>
          <w:lang w:val="en-US" w:eastAsia="zh-CN"/>
        </w:rPr>
        <w:t>、若</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采取不恰当的异议处理方式，并给</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生产经营或信誉造成负面影响，</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有权终止其所有关联公司的业务合作。</w:t>
      </w:r>
    </w:p>
    <w:p w14:paraId="2E2424B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出现包括但不限于上述违约行为的，</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有权解除合同。</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解除合同的，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除应按本合同约定的条款支付违约金，还应向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支付合同总额30%的违约金，违约金不足以弥补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p>
    <w:p w14:paraId="35546213">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八</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通知与送达</w:t>
      </w:r>
    </w:p>
    <w:p w14:paraId="472AA9D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kern w:val="2"/>
          <w:sz w:val="28"/>
          <w:szCs w:val="28"/>
          <w:lang w:val="en-US" w:eastAsia="zh-CN" w:bidi="ar-SA"/>
        </w:rPr>
        <w:t>甲乙双方认同在本合同中留存的联系方式为有效联系方式，一方变更联系方式、地址或联系人的，应当在变更前3日内书面通知对方，否则以原地址或联系人为准。对方当事人实际收到变更通知前的送达仍为有效送达，电子送达与书面送达具有同等法律效力</w:t>
      </w:r>
      <w:r>
        <w:rPr>
          <w:rFonts w:hint="eastAsia" w:ascii="仿宋" w:hAnsi="仿宋" w:eastAsia="仿宋" w:cs="仿宋"/>
          <w:b w:val="0"/>
          <w:bCs w:val="0"/>
          <w:color w:val="auto"/>
          <w:sz w:val="28"/>
          <w:szCs w:val="28"/>
          <w:highlight w:val="none"/>
          <w:u w:val="none"/>
          <w:lang w:val="en-US" w:eastAsia="zh-CN"/>
        </w:rPr>
        <w:t>。</w:t>
      </w:r>
    </w:p>
    <w:p w14:paraId="7424D27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0749B4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3、乙方的开户银行、账户名称、银行账号以本合同提供的为准。通知地址的适用范围包括各方发生纠纷进入诉讼、仲裁程序时法律文书及其他相关文件的送达。</w:t>
      </w:r>
    </w:p>
    <w:p w14:paraId="522E9D3F">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九</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6107D02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sz w:val="28"/>
          <w:szCs w:val="28"/>
          <w:highlight w:val="none"/>
        </w:rPr>
        <w:t>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r>
        <w:rPr>
          <w:rFonts w:hint="eastAsia" w:ascii="仿宋" w:hAnsi="仿宋" w:eastAsia="仿宋" w:cs="仿宋"/>
          <w:sz w:val="28"/>
          <w:szCs w:val="28"/>
          <w:highlight w:val="none"/>
          <w:lang w:eastAsia="zh-CN"/>
        </w:rPr>
        <w:t>。</w:t>
      </w:r>
    </w:p>
    <w:p w14:paraId="3DF69E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2、因不可抗力</w:t>
      </w:r>
      <w:r>
        <w:rPr>
          <w:rFonts w:hint="eastAsia" w:ascii="仿宋" w:hAnsi="仿宋" w:eastAsia="仿宋" w:cs="仿宋"/>
          <w:sz w:val="28"/>
          <w:szCs w:val="28"/>
          <w:highlight w:val="none"/>
        </w:rPr>
        <w:t>不能履行或不能完全履行</w:t>
      </w:r>
      <w:r>
        <w:rPr>
          <w:rFonts w:hint="default" w:ascii="仿宋" w:hAnsi="仿宋" w:eastAsia="仿宋" w:cs="仿宋"/>
          <w:sz w:val="28"/>
          <w:szCs w:val="28"/>
          <w:lang w:val="en-US" w:eastAsia="zh-CN"/>
        </w:rPr>
        <w:t>合同一方应将此类事件的发生通知合同另一方，并应在不可抗力事件发生后</w:t>
      </w:r>
      <w:r>
        <w:rPr>
          <w:rFonts w:hint="eastAsia" w:ascii="仿宋" w:hAnsi="仿宋" w:eastAsia="仿宋" w:cs="仿宋"/>
          <w:sz w:val="28"/>
          <w:szCs w:val="28"/>
          <w:u w:val="none"/>
          <w:lang w:val="en-US" w:eastAsia="zh-CN"/>
        </w:rPr>
        <w:t>十</w:t>
      </w:r>
      <w:r>
        <w:rPr>
          <w:rFonts w:hint="default" w:ascii="仿宋" w:hAnsi="仿宋" w:eastAsia="仿宋" w:cs="仿宋"/>
          <w:sz w:val="28"/>
          <w:szCs w:val="28"/>
          <w:lang w:val="en-US" w:eastAsia="zh-CN"/>
        </w:rPr>
        <w:t>日内将</w:t>
      </w:r>
      <w:r>
        <w:rPr>
          <w:rFonts w:hint="eastAsia" w:ascii="仿宋" w:hAnsi="仿宋" w:eastAsia="仿宋" w:cs="仿宋"/>
          <w:sz w:val="28"/>
          <w:szCs w:val="28"/>
          <w:lang w:val="en-US" w:eastAsia="zh-CN"/>
        </w:rPr>
        <w:t>官方</w:t>
      </w:r>
      <w:r>
        <w:rPr>
          <w:rFonts w:hint="default" w:ascii="仿宋" w:hAnsi="仿宋" w:eastAsia="仿宋" w:cs="仿宋"/>
          <w:sz w:val="28"/>
          <w:szCs w:val="28"/>
          <w:lang w:val="en-US" w:eastAsia="zh-CN"/>
        </w:rPr>
        <w:t>或机构出具的证明文件提交给合同另一方。</w:t>
      </w:r>
    </w:p>
    <w:p w14:paraId="64E912C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3、</w:t>
      </w:r>
      <w:r>
        <w:rPr>
          <w:rFonts w:hint="default" w:ascii="仿宋" w:hAnsi="仿宋" w:eastAsia="仿宋" w:cs="仿宋"/>
          <w:sz w:val="28"/>
          <w:szCs w:val="28"/>
          <w:lang w:val="en-US" w:eastAsia="zh-CN"/>
        </w:rPr>
        <w:t>受不可抗力事件影响的合同一方对于不可抗力事件导致的任何合同义务的迟延履行或不能履行不承担责任。但该合同方应尽快将不可抗力事件结束或其影响消除的情况通知合同另一方。</w:t>
      </w:r>
    </w:p>
    <w:p w14:paraId="2EC7ACE3">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安全环保条款</w:t>
      </w:r>
    </w:p>
    <w:p w14:paraId="235FD0B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于安全、环保、职业健康的特别约定：甲乙双方在维修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0CA19D9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2、乙方人员及车辆在甲方区域内应遵守甲方的安全环保等各项规定，服从现场人员指挥。未经许可，不得在甲方厂区内自行装卸货物、拆解包装、动用现场工具设备等，不得在厂区内抽烟，否则这些违规行为造成的一切后果由乙方承担。乙方人员应</w:t>
      </w:r>
      <w:r>
        <w:rPr>
          <w:rFonts w:hint="eastAsia" w:ascii="仿宋" w:hAnsi="仿宋" w:eastAsia="仿宋" w:cs="仿宋"/>
          <w:color w:val="auto"/>
          <w:sz w:val="28"/>
          <w:szCs w:val="28"/>
          <w:lang w:val="en-US" w:eastAsia="zh-CN"/>
        </w:rPr>
        <w:t>遵守甲方现场安全管理规章制度，</w:t>
      </w:r>
      <w:r>
        <w:rPr>
          <w:rFonts w:hint="eastAsia" w:ascii="仿宋" w:hAnsi="仿宋" w:eastAsia="仿宋" w:cs="Times New Roman"/>
          <w:color w:val="auto"/>
          <w:sz w:val="28"/>
          <w:szCs w:val="28"/>
          <w:lang w:val="en-US" w:eastAsia="zh-CN"/>
        </w:rPr>
        <w:t>并作好自我安全防护措施，</w:t>
      </w:r>
      <w:r>
        <w:rPr>
          <w:rFonts w:hint="eastAsia" w:ascii="仿宋" w:hAnsi="仿宋" w:eastAsia="仿宋" w:cs="仿宋"/>
          <w:color w:val="auto"/>
          <w:sz w:val="28"/>
          <w:szCs w:val="28"/>
          <w:lang w:val="en-US" w:eastAsia="zh-CN"/>
        </w:rPr>
        <w:t>因乙方原因发生不安全事件由乙方自行承担责任。</w:t>
      </w:r>
    </w:p>
    <w:p w14:paraId="62D2D3AD">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十一</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廉洁条款</w:t>
      </w:r>
    </w:p>
    <w:p w14:paraId="6D91975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val="0"/>
          <w:bCs w:val="0"/>
          <w:sz w:val="28"/>
          <w:szCs w:val="28"/>
          <w:u w:val="single" w:color="FFFFFF"/>
        </w:rPr>
      </w:pPr>
      <w:r>
        <w:rPr>
          <w:rFonts w:hint="eastAsia" w:ascii="仿宋" w:hAnsi="仿宋" w:eastAsia="仿宋" w:cs="仿宋"/>
          <w:sz w:val="28"/>
          <w:szCs w:val="28"/>
          <w:lang w:val="en-US" w:eastAsia="zh-CN"/>
        </w:rPr>
        <w:t>1、甲乙双方应当自觉遵守国家有关法律法规和党风廉政建设等各项规定，严格杜绝违法违规行为的发生；</w:t>
      </w:r>
      <w:r>
        <w:rPr>
          <w:rFonts w:hint="eastAsia" w:ascii="仿宋" w:hAnsi="仿宋" w:eastAsia="仿宋"/>
          <w:b w:val="0"/>
          <w:bCs w:val="0"/>
          <w:sz w:val="28"/>
          <w:szCs w:val="28"/>
          <w:u w:val="single" w:color="FFFFFF"/>
          <w:lang w:eastAsia="zh-CN"/>
        </w:rPr>
        <w:t>乙方须与甲方另行签订廉政协议并遵照执行</w:t>
      </w:r>
      <w:r>
        <w:rPr>
          <w:rFonts w:hint="eastAsia" w:ascii="仿宋" w:hAnsi="仿宋" w:eastAsia="仿宋"/>
          <w:b w:val="0"/>
          <w:bCs w:val="0"/>
          <w:sz w:val="28"/>
          <w:szCs w:val="28"/>
          <w:u w:val="single" w:color="FFFFFF"/>
        </w:rPr>
        <w:t>。</w:t>
      </w:r>
    </w:p>
    <w:p w14:paraId="6B973DB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b w:val="0"/>
          <w:bCs w:val="0"/>
          <w:sz w:val="28"/>
          <w:szCs w:val="28"/>
          <w:u w:val="single" w:color="FFFFFF"/>
          <w:lang w:val="en-US" w:eastAsia="zh-CN"/>
        </w:rPr>
        <w:t>2、</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相关人员若对</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相关人员有行贿等商业不正当交往情形，</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有权</w:t>
      </w:r>
      <w:r>
        <w:rPr>
          <w:rFonts w:hint="eastAsia" w:ascii="仿宋" w:hAnsi="仿宋" w:eastAsia="仿宋" w:cs="仿宋"/>
          <w:color w:val="auto"/>
          <w:sz w:val="28"/>
          <w:szCs w:val="28"/>
        </w:rPr>
        <w:t>停止向</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支付合同</w:t>
      </w:r>
      <w:r>
        <w:rPr>
          <w:rFonts w:hint="eastAsia" w:ascii="仿宋" w:hAnsi="仿宋" w:eastAsia="仿宋" w:cs="仿宋"/>
          <w:color w:val="auto"/>
          <w:sz w:val="28"/>
          <w:szCs w:val="28"/>
          <w:lang w:val="en-US" w:eastAsia="zh-CN"/>
        </w:rPr>
        <w:t>价</w:t>
      </w:r>
      <w:r>
        <w:rPr>
          <w:rFonts w:hint="eastAsia" w:ascii="仿宋" w:hAnsi="仿宋" w:eastAsia="仿宋" w:cs="仿宋"/>
          <w:color w:val="auto"/>
          <w:sz w:val="28"/>
          <w:szCs w:val="28"/>
        </w:rPr>
        <w:t>款，直至上述情形</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主动配合调查清楚；</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同时有权扣除</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合同总额</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0%的货款作为违约金</w:t>
      </w:r>
      <w:r>
        <w:rPr>
          <w:rFonts w:hint="eastAsia" w:ascii="仿宋" w:hAnsi="仿宋" w:eastAsia="仿宋" w:cs="仿宋"/>
          <w:color w:val="auto"/>
          <w:sz w:val="28"/>
          <w:szCs w:val="28"/>
          <w:lang w:eastAsia="zh-CN"/>
        </w:rPr>
        <w:t>。</w:t>
      </w:r>
    </w:p>
    <w:p w14:paraId="2A0DC2AB">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十二</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保密条款</w:t>
      </w:r>
    </w:p>
    <w:p w14:paraId="3EC0F15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无论本合同是否实际生效并被履行，双方对在订立、履行本合同过程中知悉的双方尚未向社会公开的技术、商业情报和资料均负有保密义务，不得泄密或者不正当使用。在本合同终止之后，双方仍需履行本合同项下的保密业务，直至对方同意解除此项业务，或事实上不会因违反本合同的保密条款而给对方造成任何形式的损害为止。</w:t>
      </w:r>
    </w:p>
    <w:p w14:paraId="4A4E213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第十三条、其它约定事项：</w:t>
      </w:r>
    </w:p>
    <w:p w14:paraId="6904AEB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Times New Roman"/>
          <w:color w:val="auto"/>
          <w:sz w:val="28"/>
          <w:szCs w:val="28"/>
          <w:lang w:val="en-US" w:eastAsia="zh-CN"/>
        </w:rPr>
        <w:t>1、</w:t>
      </w:r>
      <w:r>
        <w:rPr>
          <w:rFonts w:hint="eastAsia" w:ascii="仿宋" w:hAnsi="仿宋" w:eastAsia="仿宋" w:cs="仿宋"/>
          <w:color w:val="000000"/>
          <w:sz w:val="28"/>
          <w:szCs w:val="28"/>
          <w:highlight w:val="none"/>
        </w:rPr>
        <w:t>凡因本合同引起的或与本合同有关的任何争议</w:t>
      </w:r>
      <w:r>
        <w:rPr>
          <w:rFonts w:hint="eastAsia" w:ascii="仿宋" w:hAnsi="仿宋" w:eastAsia="仿宋" w:cs="仿宋"/>
          <w:color w:val="000000"/>
          <w:sz w:val="28"/>
          <w:szCs w:val="28"/>
          <w:highlight w:val="none"/>
          <w:lang w:eastAsia="zh-CN"/>
        </w:rPr>
        <w:t>，</w:t>
      </w:r>
      <w:r>
        <w:rPr>
          <w:rFonts w:hint="eastAsia" w:ascii="仿宋" w:hAnsi="仿宋" w:eastAsia="仿宋" w:cs="Arial"/>
          <w:bCs/>
          <w:sz w:val="28"/>
          <w:szCs w:val="28"/>
        </w:rPr>
        <w:t>双方</w:t>
      </w:r>
      <w:r>
        <w:rPr>
          <w:rFonts w:hint="eastAsia" w:ascii="仿宋" w:hAnsi="仿宋" w:eastAsia="仿宋" w:cs="Arial"/>
          <w:bCs/>
          <w:sz w:val="28"/>
          <w:szCs w:val="28"/>
          <w:lang w:val="en-US" w:eastAsia="zh-CN"/>
        </w:rPr>
        <w:t>应</w:t>
      </w:r>
      <w:r>
        <w:rPr>
          <w:rFonts w:hint="eastAsia" w:ascii="仿宋" w:hAnsi="仿宋" w:eastAsia="仿宋" w:cs="Arial"/>
          <w:bCs/>
          <w:sz w:val="28"/>
          <w:szCs w:val="28"/>
        </w:rPr>
        <w:t>友好协商</w:t>
      </w:r>
      <w:r>
        <w:rPr>
          <w:rFonts w:hint="eastAsia" w:ascii="仿宋" w:hAnsi="仿宋" w:eastAsia="仿宋" w:cs="Arial"/>
          <w:bCs/>
          <w:sz w:val="28"/>
          <w:szCs w:val="28"/>
          <w:lang w:eastAsia="zh-CN"/>
        </w:rPr>
        <w:t>。</w:t>
      </w:r>
      <w:r>
        <w:rPr>
          <w:rFonts w:hint="eastAsia" w:ascii="仿宋" w:hAnsi="仿宋" w:eastAsia="仿宋" w:cs="Arial"/>
          <w:bCs/>
          <w:sz w:val="28"/>
          <w:szCs w:val="28"/>
        </w:rPr>
        <w:t>协商不成</w:t>
      </w:r>
      <w:r>
        <w:rPr>
          <w:rFonts w:hint="eastAsia" w:ascii="仿宋" w:hAnsi="仿宋" w:eastAsia="仿宋" w:cs="Arial"/>
          <w:bCs/>
          <w:sz w:val="28"/>
          <w:szCs w:val="28"/>
          <w:lang w:val="en-US" w:eastAsia="zh-CN"/>
        </w:rPr>
        <w:t>的，可</w:t>
      </w:r>
      <w:r>
        <w:rPr>
          <w:rFonts w:hint="eastAsia" w:ascii="仿宋" w:hAnsi="仿宋" w:eastAsia="仿宋" w:cs="Arial"/>
          <w:bCs/>
          <w:sz w:val="28"/>
          <w:szCs w:val="28"/>
        </w:rPr>
        <w:t>提交</w:t>
      </w:r>
      <w:r>
        <w:rPr>
          <w:rFonts w:hint="eastAsia" w:ascii="仿宋" w:hAnsi="仿宋" w:eastAsia="仿宋" w:cs="Arial"/>
          <w:bCs/>
          <w:sz w:val="28"/>
          <w:szCs w:val="28"/>
          <w:lang w:val="en-US" w:eastAsia="zh-CN"/>
        </w:rPr>
        <w:t>甲</w:t>
      </w:r>
      <w:r>
        <w:rPr>
          <w:rFonts w:hint="eastAsia" w:ascii="仿宋" w:hAnsi="仿宋" w:eastAsia="仿宋" w:cs="Arial"/>
          <w:bCs/>
          <w:sz w:val="28"/>
          <w:szCs w:val="28"/>
        </w:rPr>
        <w:t>方所在地人民法院</w:t>
      </w:r>
      <w:r>
        <w:rPr>
          <w:rFonts w:hint="eastAsia" w:ascii="仿宋" w:hAnsi="仿宋" w:eastAsia="仿宋" w:cs="Arial"/>
          <w:bCs/>
          <w:sz w:val="28"/>
          <w:szCs w:val="28"/>
          <w:lang w:val="en-US" w:eastAsia="zh-CN"/>
        </w:rPr>
        <w:t>解决</w:t>
      </w:r>
      <w:r>
        <w:rPr>
          <w:rFonts w:hint="eastAsia" w:ascii="仿宋" w:hAnsi="仿宋" w:eastAsia="仿宋" w:cs="Arial"/>
          <w:bCs/>
          <w:sz w:val="28"/>
          <w:szCs w:val="28"/>
        </w:rPr>
        <w:t>。</w:t>
      </w:r>
    </w:p>
    <w:p w14:paraId="3D5B079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Arial"/>
          <w:bCs/>
          <w:sz w:val="28"/>
          <w:szCs w:val="28"/>
          <w:lang w:val="en-US" w:eastAsia="zh-CN"/>
        </w:rPr>
        <w:t>2、</w:t>
      </w:r>
      <w:r>
        <w:rPr>
          <w:rFonts w:hint="eastAsia" w:ascii="仿宋" w:hAnsi="仿宋" w:eastAsia="仿宋" w:cs="Arial"/>
          <w:bCs/>
          <w:sz w:val="28"/>
          <w:szCs w:val="28"/>
        </w:rPr>
        <w:t>因处理争议而产生的诉讼费或仲裁费、</w:t>
      </w:r>
      <w:r>
        <w:rPr>
          <w:rFonts w:hint="eastAsia" w:ascii="仿宋" w:hAnsi="仿宋" w:eastAsia="仿宋" w:cs="Arial"/>
          <w:bCs/>
          <w:sz w:val="28"/>
          <w:szCs w:val="28"/>
          <w:lang w:val="en-US" w:eastAsia="zh-CN"/>
        </w:rPr>
        <w:t>保全费、</w:t>
      </w:r>
      <w:r>
        <w:rPr>
          <w:rFonts w:hint="eastAsia" w:ascii="仿宋" w:hAnsi="仿宋" w:eastAsia="仿宋" w:cs="Arial"/>
          <w:bCs/>
          <w:sz w:val="28"/>
          <w:szCs w:val="28"/>
        </w:rPr>
        <w:t>公告费、律师代理费、差旅费等全部费用，由违约方承担。</w:t>
      </w:r>
    </w:p>
    <w:p w14:paraId="40227DE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3、在维修及校验过程中，若发现双方约定的维修内容有任何漏项或短缺，在合同中并未列入但确实是乙方应满足或达到双方约定的验收标准所必须的，乙方应负责维修和补充，产生的费用由乙方承担。</w:t>
      </w:r>
    </w:p>
    <w:p w14:paraId="61ED7D3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4、合同所附</w:t>
      </w:r>
      <w:r>
        <w:rPr>
          <w:rFonts w:hint="eastAsia" w:ascii="仿宋" w:hAnsi="仿宋" w:eastAsia="仿宋" w:cs="Times New Roman"/>
          <w:color w:val="auto"/>
          <w:sz w:val="28"/>
          <w:szCs w:val="28"/>
          <w:highlight w:val="yellow"/>
          <w:lang w:val="en-US" w:eastAsia="zh-CN"/>
        </w:rPr>
        <w:t>技术协议</w:t>
      </w:r>
      <w:r>
        <w:rPr>
          <w:rFonts w:hint="eastAsia" w:ascii="仿宋" w:hAnsi="仿宋" w:eastAsia="仿宋" w:cs="Times New Roman"/>
          <w:color w:val="auto"/>
          <w:sz w:val="28"/>
          <w:szCs w:val="28"/>
          <w:lang w:val="en-US" w:eastAsia="zh-CN"/>
        </w:rPr>
        <w:t>与本合同具有同等法律效力。</w:t>
      </w:r>
    </w:p>
    <w:p w14:paraId="693DA8C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5、合同所指甲方损失均包含甲方直接和间接损失。</w:t>
      </w:r>
    </w:p>
    <w:p w14:paraId="028C332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6、维修款的付清并不意味着乙方对所维修货物质量责任的解除，若在质保期内出现质量问题，乙方需免费重新维修。（</w:t>
      </w:r>
      <w:r>
        <w:rPr>
          <w:rFonts w:hint="eastAsia" w:ascii="仿宋" w:hAnsi="仿宋" w:eastAsia="仿宋" w:cs="Times New Roman"/>
          <w:color w:val="0000FF"/>
          <w:sz w:val="28"/>
          <w:szCs w:val="28"/>
          <w:lang w:val="en-US" w:eastAsia="zh-CN"/>
        </w:rPr>
        <w:t>若未留质保金须约定此条</w:t>
      </w:r>
      <w:r>
        <w:rPr>
          <w:rFonts w:hint="eastAsia" w:ascii="仿宋" w:hAnsi="仿宋" w:eastAsia="仿宋" w:cs="Times New Roman"/>
          <w:color w:val="auto"/>
          <w:sz w:val="28"/>
          <w:szCs w:val="28"/>
          <w:lang w:val="en-US" w:eastAsia="zh-CN"/>
        </w:rPr>
        <w:t>）</w:t>
      </w:r>
    </w:p>
    <w:p w14:paraId="6ED5863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第十四条、合同有效期：</w:t>
      </w:r>
    </w:p>
    <w:p w14:paraId="5F33D94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本合同自双方签字</w:t>
      </w:r>
      <w:r>
        <w:rPr>
          <w:rFonts w:hint="eastAsia" w:ascii="仿宋" w:hAnsi="仿宋" w:eastAsia="仿宋"/>
          <w:sz w:val="28"/>
          <w:szCs w:val="28"/>
          <w:lang w:val="en-US" w:eastAsia="zh-CN"/>
        </w:rPr>
        <w:t>并</w:t>
      </w:r>
      <w:r>
        <w:rPr>
          <w:rFonts w:hint="eastAsia" w:ascii="仿宋" w:hAnsi="仿宋" w:eastAsia="仿宋"/>
          <w:sz w:val="28"/>
          <w:szCs w:val="28"/>
        </w:rPr>
        <w:t>加盖公章或合同专用章之日起生效。以合同约定通讯方式送达的扫描件与原件具有同等法律效力。</w:t>
      </w:r>
    </w:p>
    <w:p w14:paraId="7E41570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lang w:val="en-US" w:eastAsia="zh-CN"/>
        </w:rPr>
        <w:t>2、合同有效</w:t>
      </w:r>
      <w:r>
        <w:rPr>
          <w:rFonts w:hint="eastAsia" w:ascii="仿宋" w:hAnsi="仿宋" w:eastAsia="仿宋"/>
          <w:sz w:val="28"/>
          <w:szCs w:val="28"/>
        </w:rPr>
        <w:t>期限为</w:t>
      </w:r>
      <w:r>
        <w:rPr>
          <w:rFonts w:hint="eastAsia" w:ascii="仿宋" w:hAnsi="仿宋" w:eastAsia="仿宋"/>
          <w:sz w:val="28"/>
          <w:szCs w:val="28"/>
          <w:lang w:val="en-US" w:eastAsia="zh-CN"/>
        </w:rPr>
        <w:t>：自合同生效之日起至货款两清索赔完毕时终止。</w:t>
      </w:r>
    </w:p>
    <w:p w14:paraId="09F16B4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本合同一式【</w:t>
      </w:r>
      <w:r>
        <w:rPr>
          <w:rFonts w:hint="eastAsia" w:ascii="仿宋" w:hAnsi="仿宋" w:eastAsia="仿宋"/>
          <w:sz w:val="28"/>
          <w:szCs w:val="28"/>
          <w:lang w:val="en-US" w:eastAsia="zh-CN"/>
        </w:rPr>
        <w:t>6</w:t>
      </w:r>
      <w:r>
        <w:rPr>
          <w:rFonts w:hint="eastAsia" w:ascii="仿宋" w:hAnsi="仿宋" w:eastAsia="仿宋"/>
          <w:sz w:val="28"/>
          <w:szCs w:val="28"/>
        </w:rPr>
        <w:t>】份，</w:t>
      </w:r>
      <w:r>
        <w:rPr>
          <w:rFonts w:hint="eastAsia" w:ascii="仿宋" w:hAnsi="仿宋" w:eastAsia="仿宋"/>
          <w:sz w:val="28"/>
          <w:szCs w:val="28"/>
          <w:lang w:val="en-US" w:eastAsia="zh-CN"/>
        </w:rPr>
        <w:t>甲方</w:t>
      </w:r>
      <w:r>
        <w:rPr>
          <w:rFonts w:hint="eastAsia" w:ascii="仿宋" w:hAnsi="仿宋" w:eastAsia="仿宋"/>
          <w:sz w:val="28"/>
          <w:szCs w:val="28"/>
        </w:rPr>
        <w:t>执【</w:t>
      </w:r>
      <w:r>
        <w:rPr>
          <w:rFonts w:hint="eastAsia" w:ascii="仿宋" w:hAnsi="仿宋" w:eastAsia="仿宋"/>
          <w:sz w:val="28"/>
          <w:szCs w:val="28"/>
          <w:lang w:val="en-US" w:eastAsia="zh-CN"/>
        </w:rPr>
        <w:t>4</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乙方</w:t>
      </w:r>
      <w:r>
        <w:rPr>
          <w:rFonts w:hint="eastAsia" w:ascii="仿宋" w:hAnsi="仿宋" w:eastAsia="仿宋"/>
          <w:sz w:val="28"/>
          <w:szCs w:val="28"/>
        </w:rPr>
        <w:t>执【</w:t>
      </w:r>
      <w:r>
        <w:rPr>
          <w:rFonts w:hint="eastAsia" w:ascii="仿宋" w:hAnsi="仿宋" w:eastAsia="仿宋"/>
          <w:sz w:val="28"/>
          <w:szCs w:val="28"/>
          <w:lang w:val="en-US" w:eastAsia="zh-CN"/>
        </w:rPr>
        <w:t>2</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具有同等法律效力</w:t>
      </w:r>
      <w:r>
        <w:rPr>
          <w:rFonts w:hint="eastAsia" w:ascii="仿宋" w:hAnsi="仿宋" w:eastAsia="仿宋"/>
          <w:sz w:val="28"/>
          <w:szCs w:val="28"/>
        </w:rPr>
        <w:t>。未尽事宜，双方另行协商确定。</w:t>
      </w:r>
    </w:p>
    <w:p w14:paraId="1DEBFEF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（以下无正文）</w:t>
      </w:r>
    </w:p>
    <w:p w14:paraId="16ABBBB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p>
    <w:tbl>
      <w:tblPr>
        <w:tblStyle w:val="45"/>
        <w:tblpPr w:leftFromText="180" w:rightFromText="180" w:vertAnchor="text" w:horzAnchor="margin" w:tblpXSpec="center" w:tblpY="102"/>
        <w:tblW w:w="9692"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1"/>
        <w:gridCol w:w="4871"/>
      </w:tblGrid>
      <w:tr w14:paraId="269A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7" w:hRule="atLeast"/>
        </w:trPr>
        <w:tc>
          <w:tcPr>
            <w:tcW w:w="4821" w:type="dxa"/>
            <w:noWrap w:val="0"/>
            <w:vAlign w:val="top"/>
          </w:tcPr>
          <w:p w14:paraId="71C8B845">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 xml:space="preserve">甲方：     </w:t>
            </w:r>
          </w:p>
          <w:p w14:paraId="65AA004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4F814B7">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2FB44BC3">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30FBF5E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48332F0A">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4F6FC9C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c>
          <w:tcPr>
            <w:tcW w:w="4871" w:type="dxa"/>
            <w:noWrap w:val="0"/>
            <w:vAlign w:val="top"/>
          </w:tcPr>
          <w:p w14:paraId="617D6A89">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w:t>
            </w:r>
          </w:p>
          <w:p w14:paraId="45405C10">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2595111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C3AF888">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5CD9E16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680087D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6B5798C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r>
    </w:tbl>
    <w:p w14:paraId="70CF0319">
      <w:pPr>
        <w:spacing w:line="520" w:lineRule="exact"/>
        <w:rPr>
          <w:rFonts w:hint="eastAsia" w:ascii="仿宋" w:hAnsi="仿宋" w:eastAsia="仿宋"/>
          <w:sz w:val="28"/>
          <w:szCs w:val="32"/>
        </w:rPr>
      </w:pPr>
    </w:p>
    <w:p w14:paraId="1D644C77">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8423</Words>
  <Characters>8770</Characters>
  <Lines>97</Lines>
  <Paragraphs>27</Paragraphs>
  <TotalTime>13</TotalTime>
  <ScaleCrop>false</ScaleCrop>
  <LinksUpToDate>false</LinksUpToDate>
  <CharactersWithSpaces>9646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2026-07-03T03:08:59Z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