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437B3A">
      <w:pPr>
        <w:spacing w:line="500" w:lineRule="exact"/>
        <w:jc w:val="center"/>
        <w:rPr>
          <w:rFonts w:hint="eastAsia"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6BDB4226">
      <w:pPr>
        <w:spacing w:line="500" w:lineRule="exact"/>
        <w:jc w:val="left"/>
        <w:rPr>
          <w:rFonts w:hint="eastAsia" w:ascii="仿宋" w:hAnsi="仿宋" w:eastAsia="仿宋"/>
          <w:sz w:val="28"/>
          <w:szCs w:val="28"/>
        </w:rPr>
      </w:pPr>
      <w:r>
        <w:rPr>
          <w:rFonts w:hint="eastAsia" w:ascii="仿宋" w:hAnsi="仿宋" w:eastAsia="仿宋"/>
          <w:sz w:val="28"/>
          <w:szCs w:val="28"/>
        </w:rPr>
        <w:t>各相关单位：</w:t>
      </w:r>
    </w:p>
    <w:p w14:paraId="5585A317">
      <w:pPr>
        <w:widowControl/>
        <w:autoSpaceDE w:val="0"/>
        <w:autoSpaceDN w:val="0"/>
        <w:spacing w:line="360" w:lineRule="auto"/>
        <w:ind w:firstLine="560" w:firstLineChars="200"/>
        <w:jc w:val="both"/>
        <w:rPr>
          <w:rFonts w:hint="eastAsia" w:ascii="仿宋" w:hAnsi="仿宋" w:eastAsia="仿宋"/>
          <w:color w:val="auto"/>
          <w:sz w:val="28"/>
          <w:szCs w:val="28"/>
        </w:rPr>
      </w:pPr>
      <w:r>
        <w:rPr>
          <w:rFonts w:hint="eastAsia" w:ascii="仿宋" w:hAnsi="仿宋" w:eastAsia="仿宋"/>
          <w:sz w:val="28"/>
          <w:szCs w:val="28"/>
        </w:rPr>
        <w:t>万基控股集团有限公司招标办公室拟对</w:t>
      </w:r>
      <w:r>
        <w:rPr>
          <w:rFonts w:hint="default" w:ascii="仿宋" w:hAnsi="仿宋" w:eastAsia="仿宋"/>
          <w:sz w:val="28"/>
          <w:szCs w:val="28"/>
          <w:lang w:val="en-US" w:eastAsia="zh-CN"/>
        </w:rPr>
        <w:t>河南万基</w:t>
      </w:r>
      <w:r>
        <w:rPr>
          <w:rFonts w:hint="eastAsia" w:ascii="仿宋" w:hAnsi="仿宋" w:eastAsia="仿宋"/>
          <w:sz w:val="28"/>
          <w:szCs w:val="28"/>
          <w:lang w:val="en-US" w:eastAsia="zh-CN"/>
        </w:rPr>
        <w:t>新型建材有限</w:t>
      </w:r>
      <w:r>
        <w:rPr>
          <w:rFonts w:hint="default" w:ascii="仿宋" w:hAnsi="仿宋" w:eastAsia="仿宋"/>
          <w:sz w:val="28"/>
          <w:szCs w:val="28"/>
          <w:lang w:val="en-US" w:eastAsia="zh-CN"/>
        </w:rPr>
        <w:t>公司2x100万方粉煤灰蒸压加气混凝土砌块（含板材）生产线</w:t>
      </w:r>
      <w:r>
        <w:rPr>
          <w:rFonts w:hint="eastAsia" w:ascii="仿宋" w:hAnsi="仿宋" w:eastAsia="仿宋"/>
          <w:sz w:val="28"/>
          <w:szCs w:val="28"/>
          <w:lang w:val="en-US" w:eastAsia="zh-CN"/>
        </w:rPr>
        <w:t>的废砖处理设备项目</w:t>
      </w:r>
      <w:r>
        <w:rPr>
          <w:rFonts w:hint="eastAsia" w:ascii="仿宋" w:hAnsi="仿宋" w:eastAsia="仿宋"/>
          <w:sz w:val="28"/>
          <w:szCs w:val="28"/>
        </w:rPr>
        <w:t>进行招标【招标编号：WJWZ-(2026)05010】，有意参标</w:t>
      </w:r>
      <w:r>
        <w:rPr>
          <w:rFonts w:hint="eastAsia" w:ascii="仿宋" w:hAnsi="仿宋" w:eastAsia="仿宋"/>
          <w:color w:val="auto"/>
          <w:sz w:val="28"/>
          <w:szCs w:val="28"/>
        </w:rPr>
        <w:t>单位请在</w:t>
      </w:r>
      <w:r>
        <w:rPr>
          <w:rFonts w:hint="eastAsia" w:ascii="仿宋" w:hAnsi="仿宋" w:eastAsia="仿宋"/>
          <w:b/>
          <w:bCs/>
          <w:color w:val="auto"/>
          <w:sz w:val="28"/>
          <w:szCs w:val="28"/>
        </w:rPr>
        <w:t>202</w:t>
      </w:r>
      <w:r>
        <w:rPr>
          <w:rFonts w:hint="eastAsia" w:ascii="仿宋" w:hAnsi="仿宋" w:eastAsia="仿宋"/>
          <w:b/>
          <w:bCs/>
          <w:color w:val="auto"/>
          <w:sz w:val="28"/>
          <w:szCs w:val="28"/>
          <w:lang w:val="en-US" w:eastAsia="zh-CN"/>
        </w:rPr>
        <w:t>6</w:t>
      </w:r>
      <w:r>
        <w:rPr>
          <w:rFonts w:hint="eastAsia" w:ascii="仿宋" w:hAnsi="仿宋" w:eastAsia="仿宋"/>
          <w:b/>
          <w:bCs/>
          <w:color w:val="auto"/>
          <w:sz w:val="28"/>
          <w:szCs w:val="28"/>
        </w:rPr>
        <w:t>年</w:t>
      </w:r>
      <w:r>
        <w:rPr>
          <w:rFonts w:hint="eastAsia" w:ascii="仿宋" w:hAnsi="仿宋" w:eastAsia="仿宋"/>
          <w:b/>
          <w:bCs/>
          <w:color w:val="auto"/>
          <w:sz w:val="28"/>
          <w:szCs w:val="28"/>
          <w:lang w:val="en-US" w:eastAsia="zh-CN"/>
        </w:rPr>
        <w:t>5</w:t>
      </w:r>
      <w:r>
        <w:rPr>
          <w:rFonts w:hint="eastAsia" w:ascii="仿宋" w:hAnsi="仿宋" w:eastAsia="仿宋"/>
          <w:b/>
          <w:bCs/>
          <w:color w:val="auto"/>
          <w:sz w:val="28"/>
          <w:szCs w:val="28"/>
        </w:rPr>
        <w:t>月</w:t>
      </w:r>
      <w:r>
        <w:rPr>
          <w:rFonts w:hint="eastAsia" w:ascii="仿宋" w:hAnsi="仿宋" w:eastAsia="仿宋"/>
          <w:b/>
          <w:bCs/>
          <w:color w:val="auto"/>
          <w:sz w:val="28"/>
          <w:szCs w:val="28"/>
          <w:lang w:val="en-US" w:eastAsia="zh-CN"/>
        </w:rPr>
        <w:t>27</w:t>
      </w:r>
      <w:r>
        <w:rPr>
          <w:rFonts w:hint="eastAsia" w:ascii="仿宋" w:hAnsi="仿宋" w:eastAsia="仿宋"/>
          <w:b/>
          <w:bCs/>
          <w:color w:val="auto"/>
          <w:sz w:val="28"/>
          <w:szCs w:val="28"/>
        </w:rPr>
        <w:t>日</w:t>
      </w:r>
      <w:r>
        <w:rPr>
          <w:rFonts w:hint="eastAsia" w:ascii="仿宋" w:hAnsi="仿宋" w:eastAsia="仿宋"/>
          <w:b/>
          <w:bCs/>
          <w:color w:val="auto"/>
          <w:sz w:val="28"/>
          <w:szCs w:val="28"/>
          <w:lang w:val="en-US" w:eastAsia="zh-CN"/>
        </w:rPr>
        <w:t>下午5时</w:t>
      </w:r>
      <w:r>
        <w:rPr>
          <w:rFonts w:hint="eastAsia" w:ascii="仿宋" w:hAnsi="仿宋" w:eastAsia="仿宋"/>
          <w:b/>
          <w:bCs/>
          <w:color w:val="auto"/>
          <w:sz w:val="28"/>
          <w:szCs w:val="28"/>
        </w:rPr>
        <w:t>前</w:t>
      </w:r>
      <w:r>
        <w:rPr>
          <w:rFonts w:hint="eastAsia" w:ascii="仿宋" w:hAnsi="仿宋" w:eastAsia="仿宋"/>
          <w:color w:val="auto"/>
          <w:sz w:val="28"/>
          <w:szCs w:val="28"/>
        </w:rPr>
        <w:t>通过电话或邮件通知招标联系人报名登记，并按招标人要求的时间缴纳投标保证金。</w:t>
      </w:r>
      <w:r>
        <w:rPr>
          <w:rFonts w:hint="eastAsia" w:ascii="仿宋" w:hAnsi="仿宋" w:eastAsia="仿宋"/>
          <w:b/>
          <w:color w:val="auto"/>
          <w:sz w:val="28"/>
          <w:szCs w:val="28"/>
        </w:rPr>
        <w:t xml:space="preserve">不接受未通过资质预审、未按时缴纳投标保证金单位的投标文件。 </w:t>
      </w:r>
    </w:p>
    <w:p w14:paraId="02CE89CB">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 xml:space="preserve">投标人在本次投标中若发现违规违纪问题可直接向招标单位纪委举报，举报电话：0379-67333039。 </w:t>
      </w:r>
    </w:p>
    <w:p w14:paraId="4888DB74">
      <w:pPr>
        <w:autoSpaceDE w:val="0"/>
        <w:autoSpaceDN w:val="0"/>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开标时间：</w:t>
      </w:r>
      <w:r>
        <w:rPr>
          <w:rFonts w:hint="eastAsia" w:ascii="仿宋" w:hAnsi="仿宋" w:eastAsia="仿宋"/>
          <w:b/>
          <w:color w:val="auto"/>
          <w:sz w:val="28"/>
          <w:szCs w:val="28"/>
        </w:rPr>
        <w:t>202</w:t>
      </w:r>
      <w:r>
        <w:rPr>
          <w:rFonts w:hint="eastAsia" w:ascii="仿宋" w:hAnsi="仿宋" w:eastAsia="仿宋"/>
          <w:b/>
          <w:color w:val="auto"/>
          <w:sz w:val="28"/>
          <w:szCs w:val="28"/>
          <w:lang w:val="en-US" w:eastAsia="zh-CN"/>
        </w:rPr>
        <w:t>6</w:t>
      </w:r>
      <w:r>
        <w:rPr>
          <w:rFonts w:hint="eastAsia" w:ascii="仿宋" w:hAnsi="仿宋" w:eastAsia="仿宋"/>
          <w:b/>
          <w:color w:val="auto"/>
          <w:sz w:val="28"/>
          <w:szCs w:val="28"/>
        </w:rPr>
        <w:t>年</w:t>
      </w:r>
      <w:r>
        <w:rPr>
          <w:rFonts w:hint="eastAsia" w:ascii="仿宋" w:hAnsi="仿宋" w:eastAsia="仿宋"/>
          <w:b/>
          <w:color w:val="auto"/>
          <w:sz w:val="28"/>
          <w:szCs w:val="28"/>
          <w:lang w:val="en-US" w:eastAsia="zh-CN"/>
        </w:rPr>
        <w:t>5</w:t>
      </w:r>
      <w:r>
        <w:rPr>
          <w:rFonts w:hint="eastAsia" w:ascii="仿宋" w:hAnsi="仿宋" w:eastAsia="仿宋"/>
          <w:b/>
          <w:color w:val="auto"/>
          <w:sz w:val="28"/>
          <w:szCs w:val="28"/>
        </w:rPr>
        <w:t>月</w:t>
      </w:r>
      <w:r>
        <w:rPr>
          <w:rFonts w:hint="eastAsia" w:ascii="仿宋" w:hAnsi="仿宋" w:eastAsia="仿宋"/>
          <w:b/>
          <w:color w:val="auto"/>
          <w:sz w:val="28"/>
          <w:szCs w:val="28"/>
          <w:lang w:val="en-US" w:eastAsia="zh-CN"/>
        </w:rPr>
        <w:t>28</w:t>
      </w:r>
      <w:r>
        <w:rPr>
          <w:rFonts w:hint="eastAsia" w:ascii="仿宋" w:hAnsi="仿宋" w:eastAsia="仿宋"/>
          <w:b/>
          <w:color w:val="auto"/>
          <w:sz w:val="28"/>
          <w:szCs w:val="28"/>
        </w:rPr>
        <w:t>日</w:t>
      </w:r>
      <w:r>
        <w:rPr>
          <w:rFonts w:hint="eastAsia" w:ascii="仿宋" w:hAnsi="仿宋" w:eastAsia="仿宋"/>
          <w:b/>
          <w:color w:val="auto"/>
          <w:sz w:val="28"/>
          <w:szCs w:val="28"/>
          <w:lang w:val="en-US" w:eastAsia="zh-CN"/>
        </w:rPr>
        <w:t>上午10时</w:t>
      </w:r>
      <w:r>
        <w:rPr>
          <w:rFonts w:hint="eastAsia" w:ascii="仿宋" w:hAnsi="仿宋" w:eastAsia="仿宋"/>
          <w:b/>
          <w:color w:val="auto"/>
          <w:sz w:val="28"/>
          <w:szCs w:val="28"/>
        </w:rPr>
        <w:t>（北京时间</w:t>
      </w:r>
      <w:r>
        <w:rPr>
          <w:rFonts w:hint="eastAsia" w:ascii="仿宋" w:hAnsi="仿宋" w:eastAsia="仿宋"/>
          <w:color w:val="auto"/>
          <w:sz w:val="28"/>
          <w:szCs w:val="28"/>
        </w:rPr>
        <w:t>）</w:t>
      </w:r>
    </w:p>
    <w:p w14:paraId="4557DF83">
      <w:pPr>
        <w:spacing w:line="460" w:lineRule="exact"/>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rPr>
        <w:t>开标地点：洛阳市新安县产业集聚区万基大厦四楼开标室</w:t>
      </w:r>
      <w:r>
        <w:rPr>
          <w:rFonts w:hint="eastAsia" w:ascii="仿宋" w:hAnsi="仿宋" w:eastAsia="仿宋"/>
          <w:color w:val="auto"/>
          <w:sz w:val="28"/>
          <w:szCs w:val="28"/>
          <w:lang w:eastAsia="zh-CN"/>
        </w:rPr>
        <w:t>。</w:t>
      </w:r>
    </w:p>
    <w:p w14:paraId="5726846C">
      <w:pPr>
        <w:spacing w:line="460" w:lineRule="exact"/>
        <w:ind w:firstLine="560" w:firstLineChars="200"/>
        <w:rPr>
          <w:rFonts w:hint="default" w:ascii="仿宋" w:hAnsi="仿宋" w:eastAsia="仿宋"/>
          <w:color w:val="auto"/>
          <w:sz w:val="28"/>
          <w:szCs w:val="28"/>
          <w:lang w:val="en-US" w:eastAsia="zh-CN"/>
        </w:rPr>
      </w:pPr>
      <w:r>
        <w:rPr>
          <w:rFonts w:hint="eastAsia" w:ascii="仿宋" w:hAnsi="仿宋" w:eastAsia="仿宋" w:cs="仿宋_GB2312"/>
          <w:color w:val="auto"/>
          <w:sz w:val="28"/>
          <w:szCs w:val="28"/>
        </w:rPr>
        <w:t>资质审验及报名截止时间：</w:t>
      </w:r>
      <w:r>
        <w:rPr>
          <w:rFonts w:hint="eastAsia" w:ascii="仿宋" w:hAnsi="仿宋" w:eastAsia="仿宋" w:cs="仿宋_GB2312"/>
          <w:b/>
          <w:color w:val="auto"/>
          <w:sz w:val="28"/>
          <w:szCs w:val="28"/>
        </w:rPr>
        <w:t>202</w:t>
      </w:r>
      <w:r>
        <w:rPr>
          <w:rFonts w:hint="eastAsia" w:ascii="仿宋" w:hAnsi="仿宋" w:eastAsia="仿宋" w:cs="仿宋_GB2312"/>
          <w:b/>
          <w:color w:val="auto"/>
          <w:sz w:val="28"/>
          <w:szCs w:val="28"/>
          <w:lang w:val="en-US" w:eastAsia="zh-CN"/>
        </w:rPr>
        <w:t>6</w:t>
      </w:r>
      <w:r>
        <w:rPr>
          <w:rFonts w:hint="eastAsia" w:ascii="仿宋" w:hAnsi="仿宋" w:eastAsia="仿宋" w:cs="仿宋_GB2312"/>
          <w:b/>
          <w:color w:val="auto"/>
          <w:sz w:val="28"/>
          <w:szCs w:val="28"/>
        </w:rPr>
        <w:t>年</w:t>
      </w:r>
      <w:r>
        <w:rPr>
          <w:rFonts w:hint="eastAsia" w:ascii="仿宋" w:hAnsi="仿宋" w:eastAsia="仿宋" w:cs="仿宋_GB2312"/>
          <w:b/>
          <w:color w:val="auto"/>
          <w:sz w:val="28"/>
          <w:szCs w:val="28"/>
          <w:lang w:val="en-US" w:eastAsia="zh-CN"/>
        </w:rPr>
        <w:t>5月27日下午5时前。</w:t>
      </w:r>
    </w:p>
    <w:p w14:paraId="7BB30949">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招标：</w:t>
      </w:r>
      <w:r>
        <w:rPr>
          <w:rFonts w:hint="eastAsia" w:ascii="仿宋" w:hAnsi="仿宋" w:eastAsia="仿宋"/>
          <w:color w:val="auto"/>
          <w:sz w:val="28"/>
          <w:szCs w:val="28"/>
          <w:lang w:val="en-US" w:eastAsia="zh-CN"/>
        </w:rPr>
        <w:t>李煜</w:t>
      </w:r>
      <w:r>
        <w:rPr>
          <w:rFonts w:hint="eastAsia" w:ascii="仿宋" w:hAnsi="仿宋" w:eastAsia="仿宋"/>
          <w:color w:val="auto"/>
          <w:sz w:val="28"/>
          <w:szCs w:val="28"/>
        </w:rPr>
        <w:t xml:space="preserve"> </w:t>
      </w:r>
      <w:r>
        <w:rPr>
          <w:rFonts w:hint="eastAsia" w:ascii="仿宋" w:hAnsi="仿宋" w:eastAsia="仿宋"/>
          <w:color w:val="auto"/>
          <w:sz w:val="28"/>
          <w:szCs w:val="28"/>
          <w:lang w:val="en-US" w:eastAsia="zh-CN"/>
        </w:rPr>
        <w:t>139 3993 0992</w:t>
      </w:r>
      <w:r>
        <w:rPr>
          <w:rFonts w:ascii="仿宋" w:hAnsi="仿宋" w:eastAsia="仿宋"/>
          <w:color w:val="auto"/>
          <w:sz w:val="28"/>
          <w:szCs w:val="28"/>
        </w:rPr>
        <w:t xml:space="preserve">  </w:t>
      </w:r>
      <w:r>
        <w:rPr>
          <w:rFonts w:hint="eastAsia" w:ascii="仿宋" w:hAnsi="仿宋" w:eastAsia="仿宋"/>
          <w:color w:val="auto"/>
          <w:sz w:val="28"/>
          <w:szCs w:val="28"/>
        </w:rPr>
        <w:t>技术：</w:t>
      </w:r>
      <w:r>
        <w:rPr>
          <w:rFonts w:hint="eastAsia" w:ascii="仿宋" w:hAnsi="仿宋" w:eastAsia="仿宋"/>
          <w:color w:val="auto"/>
          <w:sz w:val="28"/>
          <w:szCs w:val="28"/>
          <w:lang w:val="en-US" w:eastAsia="zh-CN"/>
        </w:rPr>
        <w:t>袁豪</w:t>
      </w:r>
      <w:r>
        <w:rPr>
          <w:rFonts w:hint="eastAsia" w:ascii="仿宋" w:hAnsi="仿宋" w:eastAsia="仿宋"/>
          <w:color w:val="auto"/>
          <w:sz w:val="28"/>
          <w:szCs w:val="28"/>
        </w:rPr>
        <w:t xml:space="preserve"> 158</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9655</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3980</w:t>
      </w:r>
    </w:p>
    <w:p w14:paraId="1E781E7F">
      <w:pPr>
        <w:spacing w:line="500" w:lineRule="exact"/>
        <w:rPr>
          <w:rFonts w:hint="eastAsia" w:ascii="仿宋" w:hAnsi="仿宋" w:eastAsia="仿宋"/>
          <w:b/>
          <w:bCs/>
          <w:sz w:val="28"/>
          <w:szCs w:val="28"/>
        </w:rPr>
      </w:pPr>
      <w:r>
        <w:rPr>
          <w:rFonts w:hint="eastAsia" w:ascii="仿宋" w:hAnsi="仿宋" w:eastAsia="仿宋"/>
          <w:b/>
          <w:bCs/>
          <w:sz w:val="28"/>
          <w:szCs w:val="28"/>
        </w:rPr>
        <w:t>一、投标须知</w:t>
      </w:r>
    </w:p>
    <w:p w14:paraId="0136B40D">
      <w:pPr>
        <w:spacing w:line="460" w:lineRule="exact"/>
        <w:ind w:firstLine="560" w:firstLineChars="200"/>
        <w:rPr>
          <w:rFonts w:ascii="仿宋" w:hAnsi="仿宋" w:eastAsia="仿宋"/>
          <w:color w:val="auto"/>
          <w:sz w:val="28"/>
          <w:szCs w:val="28"/>
        </w:rPr>
      </w:pPr>
      <w:r>
        <w:rPr>
          <w:rFonts w:hint="eastAsia" w:ascii="仿宋" w:hAnsi="仿宋" w:eastAsia="仿宋"/>
          <w:sz w:val="28"/>
          <w:szCs w:val="28"/>
        </w:rPr>
        <w:t>1、招标方式：公开招标</w:t>
      </w:r>
      <w:r>
        <w:rPr>
          <w:rFonts w:hint="eastAsia" w:ascii="仿宋" w:hAnsi="仿宋" w:eastAsia="仿宋"/>
          <w:color w:val="auto"/>
          <w:sz w:val="28"/>
          <w:szCs w:val="28"/>
        </w:rPr>
        <w:t>。</w:t>
      </w:r>
      <w:r>
        <w:rPr>
          <w:rFonts w:hint="eastAsia" w:ascii="仿宋" w:hAnsi="仿宋" w:eastAsia="仿宋"/>
          <w:b/>
          <w:color w:val="auto"/>
          <w:sz w:val="28"/>
          <w:szCs w:val="28"/>
        </w:rPr>
        <w:t>本次招标采用一次性报价、现场开标</w:t>
      </w:r>
      <w:r>
        <w:rPr>
          <w:rFonts w:hint="eastAsia" w:ascii="仿宋" w:hAnsi="仿宋" w:eastAsia="仿宋"/>
          <w:color w:val="auto"/>
          <w:sz w:val="28"/>
          <w:szCs w:val="28"/>
        </w:rPr>
        <w:t>的方式开标。参与投标，视同完全响应招标文件。</w:t>
      </w:r>
      <w:r>
        <w:rPr>
          <w:rFonts w:ascii="仿宋" w:hAnsi="仿宋" w:eastAsia="仿宋"/>
          <w:b/>
          <w:color w:val="auto"/>
          <w:sz w:val="28"/>
          <w:szCs w:val="28"/>
        </w:rPr>
        <w:t>本次招标设置包干拦标价</w:t>
      </w:r>
      <w:r>
        <w:rPr>
          <w:rFonts w:hint="eastAsia" w:ascii="仿宋" w:hAnsi="仿宋" w:eastAsia="仿宋"/>
          <w:b/>
          <w:color w:val="auto"/>
          <w:sz w:val="28"/>
          <w:szCs w:val="28"/>
        </w:rPr>
        <w:t>：</w:t>
      </w:r>
      <w:r>
        <w:rPr>
          <w:rFonts w:hint="eastAsia" w:ascii="仿宋" w:hAnsi="仿宋" w:eastAsia="仿宋"/>
          <w:b/>
          <w:color w:val="auto"/>
          <w:sz w:val="28"/>
          <w:szCs w:val="28"/>
          <w:lang w:val="en-US" w:eastAsia="zh-CN"/>
        </w:rPr>
        <w:t>125</w:t>
      </w:r>
      <w:r>
        <w:rPr>
          <w:rFonts w:hint="eastAsia" w:ascii="仿宋" w:hAnsi="仿宋" w:eastAsia="仿宋"/>
          <w:b/>
          <w:color w:val="auto"/>
          <w:sz w:val="28"/>
          <w:szCs w:val="28"/>
        </w:rPr>
        <w:t>万元。</w:t>
      </w:r>
      <w:r>
        <w:rPr>
          <w:rFonts w:ascii="仿宋" w:hAnsi="仿宋" w:eastAsia="仿宋"/>
          <w:color w:val="auto"/>
          <w:sz w:val="28"/>
          <w:szCs w:val="28"/>
        </w:rPr>
        <w:t>各投标单位报价不得高于拦标价，高于拦标价的报价视为无效报价，不予评标。</w:t>
      </w:r>
    </w:p>
    <w:p w14:paraId="2AA5F5E5">
      <w:pPr>
        <w:spacing w:line="50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投标人应编制投标文件正本</w:t>
      </w:r>
      <w:r>
        <w:rPr>
          <w:rFonts w:hint="eastAsia" w:ascii="仿宋" w:hAnsi="仿宋" w:eastAsia="仿宋"/>
          <w:color w:val="auto"/>
          <w:sz w:val="28"/>
          <w:szCs w:val="28"/>
          <w:lang w:val="en-US" w:eastAsia="zh-CN"/>
        </w:rPr>
        <w:t>一</w:t>
      </w:r>
      <w:r>
        <w:rPr>
          <w:rFonts w:hint="eastAsia" w:ascii="仿宋" w:hAnsi="仿宋" w:eastAsia="仿宋"/>
          <w:color w:val="auto"/>
          <w:sz w:val="28"/>
          <w:szCs w:val="28"/>
        </w:rPr>
        <w:t>份和副本</w:t>
      </w:r>
      <w:r>
        <w:rPr>
          <w:rFonts w:hint="eastAsia" w:ascii="仿宋" w:hAnsi="仿宋" w:eastAsia="仿宋"/>
          <w:color w:val="auto"/>
          <w:sz w:val="28"/>
          <w:szCs w:val="28"/>
          <w:lang w:val="en-US" w:eastAsia="zh-CN"/>
        </w:rPr>
        <w:t>二</w:t>
      </w:r>
      <w:r>
        <w:rPr>
          <w:rFonts w:hint="eastAsia" w:ascii="仿宋" w:hAnsi="仿宋" w:eastAsia="仿宋"/>
          <w:color w:val="auto"/>
          <w:sz w:val="28"/>
          <w:szCs w:val="28"/>
        </w:rPr>
        <w:t>份，每套投标文件须清楚地标明“正本”或“副本”。若正本和副本不符，以正本为准。</w:t>
      </w:r>
      <w:r>
        <w:rPr>
          <w:rFonts w:hint="eastAsia" w:ascii="仿宋" w:hAnsi="仿宋" w:eastAsia="仿宋"/>
          <w:b/>
          <w:bCs/>
          <w:color w:val="auto"/>
          <w:sz w:val="28"/>
          <w:szCs w:val="28"/>
          <w:u w:val="single"/>
        </w:rPr>
        <w:t>详细分项报价（见附件5）</w:t>
      </w:r>
      <w:r>
        <w:rPr>
          <w:rFonts w:hint="eastAsia" w:ascii="仿宋" w:hAnsi="仿宋" w:eastAsia="仿宋"/>
          <w:b/>
          <w:bCs/>
          <w:color w:val="auto"/>
          <w:sz w:val="28"/>
          <w:szCs w:val="28"/>
        </w:rPr>
        <w:t>做入标书商务卷</w:t>
      </w:r>
      <w:r>
        <w:rPr>
          <w:rFonts w:hint="eastAsia" w:ascii="仿宋" w:hAnsi="仿宋" w:eastAsia="仿宋"/>
          <w:color w:val="auto"/>
          <w:sz w:val="28"/>
          <w:szCs w:val="28"/>
        </w:rPr>
        <w:t>，</w:t>
      </w:r>
      <w:r>
        <w:rPr>
          <w:rFonts w:hint="eastAsia" w:ascii="仿宋" w:hAnsi="仿宋" w:eastAsia="仿宋"/>
          <w:b/>
          <w:color w:val="auto"/>
          <w:sz w:val="28"/>
          <w:szCs w:val="28"/>
          <w:u w:val="single"/>
        </w:rPr>
        <w:t>投标报价单</w:t>
      </w:r>
      <w:r>
        <w:rPr>
          <w:rFonts w:hint="eastAsia" w:ascii="仿宋" w:hAnsi="仿宋" w:eastAsia="仿宋"/>
          <w:b/>
          <w:color w:val="auto"/>
          <w:sz w:val="28"/>
          <w:szCs w:val="28"/>
        </w:rPr>
        <w:t>（见附件）</w:t>
      </w:r>
      <w:r>
        <w:rPr>
          <w:rFonts w:hint="eastAsia" w:ascii="仿宋" w:hAnsi="仿宋" w:eastAsia="仿宋"/>
          <w:color w:val="auto"/>
          <w:sz w:val="28"/>
          <w:szCs w:val="28"/>
        </w:rPr>
        <w:t>请</w:t>
      </w:r>
      <w:r>
        <w:rPr>
          <w:rFonts w:hint="eastAsia" w:ascii="仿宋" w:hAnsi="仿宋" w:eastAsia="仿宋"/>
          <w:b/>
          <w:color w:val="auto"/>
          <w:sz w:val="28"/>
          <w:szCs w:val="28"/>
          <w:u w:val="single"/>
        </w:rPr>
        <w:t>单独用档案袋密封</w:t>
      </w:r>
      <w:r>
        <w:rPr>
          <w:rFonts w:hint="eastAsia" w:ascii="仿宋" w:hAnsi="仿宋" w:eastAsia="仿宋"/>
          <w:color w:val="auto"/>
          <w:sz w:val="28"/>
          <w:szCs w:val="28"/>
        </w:rPr>
        <w:t>，便于唱标。</w:t>
      </w:r>
    </w:p>
    <w:p w14:paraId="3BD71B40">
      <w:pPr>
        <w:spacing w:line="500" w:lineRule="exact"/>
        <w:ind w:left="412" w:firstLine="14" w:firstLineChars="5"/>
        <w:rPr>
          <w:rFonts w:hint="eastAsia"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463D290C">
      <w:pPr>
        <w:spacing w:line="500" w:lineRule="exact"/>
        <w:ind w:firstLine="560" w:firstLineChars="200"/>
        <w:rPr>
          <w:rFonts w:hint="eastAsia" w:ascii="仿宋" w:hAnsi="仿宋" w:eastAsia="仿宋" w:cs="仿宋"/>
          <w:bCs/>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w:t>
      </w:r>
      <w:r>
        <w:rPr>
          <w:rFonts w:hint="eastAsia" w:ascii="仿宋" w:hAnsi="仿宋" w:eastAsia="仿宋" w:cs="仿宋"/>
          <w:bCs/>
          <w:sz w:val="28"/>
          <w:szCs w:val="28"/>
        </w:rPr>
        <w:t>投标人必须是在中华人民共和国境内注册、具有独立法人资格，具有标的物经营资质；母公司、全资子公司及其控股公司不得同时投标；法定代表人或者负责人为同一人或者存在控股、管理关系的两个以上投标人，不得参加同一项目的投标；</w:t>
      </w:r>
    </w:p>
    <w:p w14:paraId="335C9BC2">
      <w:pPr>
        <w:spacing w:line="500" w:lineRule="exact"/>
        <w:ind w:firstLine="560" w:firstLineChars="200"/>
        <w:rPr>
          <w:rFonts w:hint="eastAsia" w:ascii="仿宋" w:hAnsi="仿宋" w:eastAsia="仿宋" w:cs="仿宋"/>
          <w:color w:val="auto"/>
          <w:sz w:val="28"/>
          <w:szCs w:val="28"/>
        </w:rPr>
      </w:pPr>
      <w:r>
        <w:rPr>
          <w:rFonts w:ascii="仿宋" w:hAnsi="仿宋" w:eastAsia="仿宋" w:cs="仿宋"/>
          <w:bCs/>
          <w:sz w:val="28"/>
          <w:szCs w:val="28"/>
        </w:rPr>
        <w:t>2</w:t>
      </w:r>
      <w:r>
        <w:rPr>
          <w:rFonts w:hint="eastAsia" w:ascii="仿宋" w:hAnsi="仿宋" w:eastAsia="仿宋" w:cs="仿宋"/>
          <w:bCs/>
          <w:sz w:val="28"/>
          <w:szCs w:val="28"/>
        </w:rPr>
        <w:t>）投标方需提供近3年至少5台撕碎机或斗式提升机或雷蒙磨的业绩</w:t>
      </w:r>
      <w:r>
        <w:rPr>
          <w:rFonts w:hint="eastAsia" w:ascii="仿宋" w:hAnsi="仿宋" w:eastAsia="仿宋" w:cs="仿宋"/>
          <w:bCs/>
          <w:sz w:val="28"/>
          <w:szCs w:val="28"/>
          <w:lang w:eastAsia="zh-CN"/>
        </w:rPr>
        <w:t>，</w:t>
      </w:r>
      <w:r>
        <w:rPr>
          <w:rFonts w:hint="eastAsia" w:ascii="仿宋" w:hAnsi="仿宋" w:eastAsia="仿宋" w:cs="仿宋"/>
          <w:bCs/>
          <w:sz w:val="28"/>
          <w:szCs w:val="28"/>
        </w:rPr>
        <w:t>并且均运行良好，业绩中要列出项目明细，所有业绩均须在投标文件中提</w:t>
      </w:r>
      <w:r>
        <w:rPr>
          <w:rFonts w:hint="eastAsia" w:ascii="仿宋" w:hAnsi="仿宋" w:eastAsia="仿宋" w:cs="仿宋"/>
          <w:bCs/>
          <w:color w:val="auto"/>
          <w:sz w:val="28"/>
          <w:szCs w:val="28"/>
        </w:rPr>
        <w:t>供合同关键页扫描件</w:t>
      </w:r>
      <w:r>
        <w:rPr>
          <w:rFonts w:hint="eastAsia" w:ascii="仿宋" w:hAnsi="仿宋" w:eastAsia="仿宋" w:cs="仿宋"/>
          <w:b/>
          <w:bCs/>
          <w:color w:val="auto"/>
          <w:sz w:val="28"/>
          <w:szCs w:val="28"/>
        </w:rPr>
        <w:t>，要载明业主方技术方面联系人和联系方式</w:t>
      </w:r>
      <w:r>
        <w:rPr>
          <w:rFonts w:hint="eastAsia" w:ascii="仿宋" w:hAnsi="仿宋" w:eastAsia="仿宋" w:cs="仿宋"/>
          <w:color w:val="auto"/>
          <w:sz w:val="28"/>
          <w:szCs w:val="28"/>
        </w:rPr>
        <w:t>；</w:t>
      </w:r>
    </w:p>
    <w:p w14:paraId="0918E8C2">
      <w:pPr>
        <w:spacing w:line="500" w:lineRule="exact"/>
        <w:ind w:firstLine="560" w:firstLineChars="200"/>
        <w:rPr>
          <w:rFonts w:hint="eastAsia" w:ascii="仿宋" w:hAnsi="仿宋" w:eastAsia="仿宋"/>
          <w:sz w:val="28"/>
          <w:szCs w:val="28"/>
        </w:rPr>
      </w:pPr>
      <w:r>
        <w:rPr>
          <w:rFonts w:hint="eastAsia" w:ascii="仿宋" w:hAnsi="仿宋" w:eastAsia="仿宋" w:cs="仿宋"/>
          <w:bCs/>
          <w:color w:val="auto"/>
          <w:sz w:val="28"/>
          <w:szCs w:val="28"/>
        </w:rPr>
        <w:t>3）</w:t>
      </w:r>
      <w:r>
        <w:rPr>
          <w:rFonts w:ascii="仿宋" w:hAnsi="仿宋" w:eastAsia="仿宋" w:cs="仿宋"/>
          <w:bCs/>
          <w:color w:val="auto"/>
          <w:sz w:val="28"/>
          <w:szCs w:val="28"/>
        </w:rPr>
        <w:t>有良好的银行资信和商业信誉，没有处于被</w:t>
      </w:r>
      <w:r>
        <w:rPr>
          <w:rFonts w:ascii="仿宋" w:hAnsi="仿宋" w:eastAsia="仿宋" w:cs="仿宋"/>
          <w:bCs/>
          <w:sz w:val="28"/>
          <w:szCs w:val="28"/>
        </w:rPr>
        <w:t>责令停业，财产被接管、冻结，破产状态；</w:t>
      </w:r>
      <w:r>
        <w:rPr>
          <w:rFonts w:hint="eastAsia" w:ascii="仿宋" w:hAnsi="仿宋" w:eastAsia="仿宋" w:cs="仿宋"/>
          <w:bCs/>
          <w:sz w:val="28"/>
          <w:szCs w:val="28"/>
        </w:rPr>
        <w:t>投标人在人员、技术、设备、资金方面具有完成本</w:t>
      </w:r>
      <w:r>
        <w:rPr>
          <w:rFonts w:hint="eastAsia" w:ascii="仿宋" w:hAnsi="仿宋" w:eastAsia="仿宋" w:cs="仿宋"/>
          <w:bCs/>
          <w:spacing w:val="-20"/>
          <w:sz w:val="28"/>
          <w:szCs w:val="28"/>
        </w:rPr>
        <w:t>项目合同的能力；</w:t>
      </w:r>
    </w:p>
    <w:p w14:paraId="1BA6086A">
      <w:pPr>
        <w:spacing w:line="50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4）近三年承担的项目中无重大质量问题、无严重违约记录，且未被政府、采购人及上级单位等列入安全生产领域失信生产经营单位名单或其他黑名单；</w:t>
      </w:r>
    </w:p>
    <w:p w14:paraId="4B9D7BE0">
      <w:pPr>
        <w:spacing w:line="500" w:lineRule="exact"/>
        <w:ind w:firstLine="560" w:firstLineChars="200"/>
        <w:rPr>
          <w:rFonts w:hint="eastAsia" w:ascii="仿宋" w:hAnsi="仿宋" w:eastAsia="仿宋"/>
          <w:color w:val="000000"/>
          <w:sz w:val="28"/>
          <w:szCs w:val="28"/>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p>
    <w:p w14:paraId="73A625DD">
      <w:pPr>
        <w:spacing w:line="50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1）资格预审：投标人需提供企业营业执照（年审过的有效件且必须有标的物经营范围）、相关资质许可、相关授权资料等、法人授权书、法人及投标人身份证、业绩合同等加盖公章复印件扫描件，打包发送至</w:t>
      </w:r>
      <w:r>
        <w:rPr>
          <w:rFonts w:hint="eastAsia" w:ascii="仿宋" w:hAnsi="仿宋" w:eastAsia="仿宋" w:cs="仿宋"/>
          <w:bCs/>
          <w:sz w:val="28"/>
          <w:szCs w:val="28"/>
          <w:lang w:val="en-US" w:eastAsia="zh-CN"/>
        </w:rPr>
        <w:t>953587319</w:t>
      </w:r>
      <w:r>
        <w:rPr>
          <w:rFonts w:hint="eastAsia" w:ascii="仿宋" w:hAnsi="仿宋" w:eastAsia="仿宋" w:cs="仿宋"/>
          <w:bCs/>
          <w:sz w:val="28"/>
          <w:szCs w:val="28"/>
        </w:rPr>
        <w:t>@qq.com作资质预审；资质预审截止时间：</w:t>
      </w:r>
      <w:r>
        <w:rPr>
          <w:rFonts w:hint="eastAsia" w:ascii="仿宋" w:hAnsi="仿宋" w:eastAsia="仿宋" w:cs="仿宋"/>
          <w:bCs/>
          <w:sz w:val="28"/>
          <w:szCs w:val="28"/>
          <w:lang w:val="en-US" w:eastAsia="zh-CN"/>
        </w:rPr>
        <w:t>2026</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5</w:t>
      </w:r>
      <w:r>
        <w:rPr>
          <w:rFonts w:hint="eastAsia" w:ascii="仿宋" w:hAnsi="仿宋" w:eastAsia="仿宋" w:cs="仿宋"/>
          <w:bCs/>
          <w:sz w:val="28"/>
          <w:szCs w:val="28"/>
        </w:rPr>
        <w:t>日</w:t>
      </w:r>
      <w:r>
        <w:rPr>
          <w:rFonts w:hint="eastAsia" w:ascii="仿宋" w:hAnsi="仿宋" w:eastAsia="仿宋" w:cs="仿宋"/>
          <w:bCs/>
          <w:sz w:val="28"/>
          <w:szCs w:val="28"/>
          <w:lang w:val="en-US" w:eastAsia="zh-CN"/>
        </w:rPr>
        <w:t>27日下</w:t>
      </w:r>
      <w:r>
        <w:rPr>
          <w:rFonts w:hint="eastAsia" w:ascii="仿宋" w:hAnsi="仿宋" w:eastAsia="仿宋" w:cs="仿宋"/>
          <w:bCs/>
          <w:sz w:val="28"/>
          <w:szCs w:val="28"/>
        </w:rPr>
        <w:t>午</w:t>
      </w:r>
      <w:r>
        <w:rPr>
          <w:rFonts w:hint="eastAsia" w:ascii="仿宋" w:hAnsi="仿宋" w:eastAsia="仿宋" w:cs="仿宋"/>
          <w:bCs/>
          <w:sz w:val="28"/>
          <w:szCs w:val="28"/>
          <w:lang w:val="en-US" w:eastAsia="zh-CN"/>
        </w:rPr>
        <w:t>5</w:t>
      </w:r>
      <w:r>
        <w:rPr>
          <w:rFonts w:hint="eastAsia" w:ascii="仿宋" w:hAnsi="仿宋" w:eastAsia="仿宋" w:cs="仿宋"/>
          <w:bCs/>
          <w:sz w:val="28"/>
          <w:szCs w:val="28"/>
        </w:rPr>
        <w:t>时前，逾期未审者不得参与本次招标。</w:t>
      </w:r>
    </w:p>
    <w:p w14:paraId="48077D94">
      <w:pPr>
        <w:spacing w:line="500" w:lineRule="exact"/>
        <w:ind w:firstLine="560" w:firstLineChars="200"/>
        <w:rPr>
          <w:rFonts w:hint="eastAsia"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）资格后审，即在评标过程中评标小组成员共同进行审查；</w:t>
      </w:r>
    </w:p>
    <w:p w14:paraId="62697EFD">
      <w:pPr>
        <w:spacing w:line="50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4、投标保证金：各投标人在开标前须向业主单位财务缴纳投标保证金人民币</w:t>
      </w:r>
      <w:r>
        <w:rPr>
          <w:rFonts w:hint="eastAsia" w:ascii="仿宋" w:hAnsi="仿宋" w:eastAsia="仿宋" w:cs="仿宋"/>
          <w:bCs/>
          <w:sz w:val="28"/>
          <w:szCs w:val="28"/>
          <w:lang w:val="en-US" w:eastAsia="zh-CN"/>
        </w:rPr>
        <w:t>壹</w:t>
      </w:r>
      <w:r>
        <w:rPr>
          <w:rFonts w:hint="eastAsia" w:ascii="仿宋" w:hAnsi="仿宋" w:eastAsia="仿宋" w:cs="仿宋"/>
          <w:bCs/>
          <w:sz w:val="28"/>
          <w:szCs w:val="28"/>
        </w:rPr>
        <w:t>万元（￥</w:t>
      </w:r>
      <w:r>
        <w:rPr>
          <w:rFonts w:hint="eastAsia" w:ascii="仿宋" w:hAnsi="仿宋" w:eastAsia="仿宋" w:cs="仿宋"/>
          <w:bCs/>
          <w:sz w:val="28"/>
          <w:szCs w:val="28"/>
          <w:lang w:val="en-US" w:eastAsia="zh-CN"/>
        </w:rPr>
        <w:t>1</w:t>
      </w:r>
      <w:r>
        <w:rPr>
          <w:rFonts w:hint="eastAsia" w:ascii="仿宋" w:hAnsi="仿宋" w:eastAsia="仿宋" w:cs="仿宋"/>
          <w:bCs/>
          <w:sz w:val="28"/>
          <w:szCs w:val="28"/>
        </w:rPr>
        <w:t>0000元）整，（详细要求见招标文件第七部分）；</w:t>
      </w:r>
    </w:p>
    <w:p w14:paraId="0439A327">
      <w:pPr>
        <w:spacing w:line="500" w:lineRule="exact"/>
        <w:ind w:firstLine="560" w:firstLineChars="200"/>
        <w:jc w:val="left"/>
        <w:rPr>
          <w:rFonts w:hint="eastAsia"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3234D095">
      <w:pPr>
        <w:spacing w:line="500" w:lineRule="exact"/>
        <w:ind w:firstLine="560" w:firstLineChars="200"/>
        <w:rPr>
          <w:rFonts w:hint="eastAsia"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、评标办法：各投标单位在都能满足招标文件及技术规范需求的情况下，综合评分高者优先列为中标候选单位（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2F32AD8F">
      <w:pPr>
        <w:spacing w:line="500" w:lineRule="exact"/>
        <w:ind w:firstLine="560" w:firstLineChars="200"/>
        <w:rPr>
          <w:rFonts w:hint="eastAsia" w:ascii="仿宋" w:hAnsi="仿宋" w:eastAsia="仿宋" w:cs="仿宋"/>
          <w:sz w:val="28"/>
          <w:szCs w:val="28"/>
        </w:rPr>
      </w:pPr>
      <w:r>
        <w:rPr>
          <w:rFonts w:ascii="仿宋" w:hAnsi="仿宋" w:eastAsia="仿宋"/>
          <w:sz w:val="28"/>
          <w:szCs w:val="28"/>
        </w:rPr>
        <w:t>7</w:t>
      </w:r>
      <w:r>
        <w:rPr>
          <w:rFonts w:hint="eastAsia" w:ascii="仿宋" w:hAnsi="仿宋" w:eastAsia="仿宋"/>
          <w:sz w:val="28"/>
          <w:szCs w:val="28"/>
        </w:rPr>
        <w:t>、供货范围：</w:t>
      </w:r>
      <w:r>
        <w:rPr>
          <w:rFonts w:hint="eastAsia" w:ascii="仿宋" w:hAnsi="仿宋" w:eastAsia="仿宋" w:cs="仿宋"/>
          <w:sz w:val="28"/>
          <w:szCs w:val="28"/>
        </w:rPr>
        <w:t>具体供货范围详见技术规范</w:t>
      </w:r>
      <w:r>
        <w:rPr>
          <w:rFonts w:hint="eastAsia" w:ascii="仿宋" w:hAnsi="仿宋" w:eastAsia="仿宋"/>
          <w:sz w:val="28"/>
          <w:szCs w:val="28"/>
        </w:rPr>
        <w:t>（附件8）；</w:t>
      </w:r>
    </w:p>
    <w:p w14:paraId="46392117">
      <w:pPr>
        <w:spacing w:line="500" w:lineRule="exact"/>
        <w:ind w:firstLine="560" w:firstLineChars="200"/>
        <w:rPr>
          <w:rFonts w:hint="eastAsia"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18B7368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9、为保证项目的进度要求，招标人保留拆包授予合同的权力。</w:t>
      </w:r>
    </w:p>
    <w:p w14:paraId="47B4150A">
      <w:pPr>
        <w:spacing w:line="500" w:lineRule="exact"/>
        <w:rPr>
          <w:rFonts w:hint="eastAsia" w:ascii="仿宋" w:hAnsi="仿宋" w:eastAsia="仿宋"/>
          <w:b/>
          <w:bCs/>
          <w:sz w:val="28"/>
          <w:szCs w:val="28"/>
        </w:rPr>
      </w:pPr>
      <w:r>
        <w:rPr>
          <w:rFonts w:hint="eastAsia" w:ascii="仿宋" w:hAnsi="仿宋" w:eastAsia="仿宋"/>
          <w:b/>
          <w:bCs/>
          <w:sz w:val="28"/>
          <w:szCs w:val="28"/>
        </w:rPr>
        <w:t>二、投标文件</w:t>
      </w:r>
    </w:p>
    <w:p w14:paraId="6297F05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 、投标文件的组成</w:t>
      </w:r>
    </w:p>
    <w:p w14:paraId="79ECB71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1.1. 投标文件由三卷组成：</w:t>
      </w:r>
    </w:p>
    <w:p w14:paraId="0938B3A4">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第一卷为商务部分，包括以下内容：</w:t>
      </w:r>
    </w:p>
    <w:p w14:paraId="5F505CBD">
      <w:pPr>
        <w:spacing w:line="50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2902A769">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2）投标人承诺函（详见附件</w:t>
      </w:r>
      <w:r>
        <w:rPr>
          <w:rFonts w:ascii="仿宋" w:hAnsi="仿宋" w:eastAsia="仿宋"/>
          <w:sz w:val="28"/>
          <w:szCs w:val="28"/>
        </w:rPr>
        <w:t>2</w:t>
      </w:r>
      <w:r>
        <w:rPr>
          <w:rFonts w:hint="eastAsia" w:ascii="仿宋" w:hAnsi="仿宋" w:eastAsia="仿宋"/>
          <w:sz w:val="28"/>
          <w:szCs w:val="28"/>
        </w:rPr>
        <w:t>）</w:t>
      </w:r>
      <w:r>
        <w:rPr>
          <w:rFonts w:hint="eastAsia" w:ascii="仿宋" w:hAnsi="仿宋" w:eastAsia="仿宋"/>
          <w:sz w:val="28"/>
          <w:szCs w:val="28"/>
          <w:lang w:eastAsia="zh-CN"/>
        </w:rPr>
        <w:t>；</w:t>
      </w:r>
      <w:r>
        <w:rPr>
          <w:rFonts w:ascii="仿宋" w:hAnsi="仿宋" w:eastAsia="仿宋"/>
          <w:sz w:val="28"/>
          <w:szCs w:val="28"/>
        </w:rPr>
        <w:t xml:space="preserve">   </w:t>
      </w:r>
    </w:p>
    <w:p w14:paraId="65DD3E6F">
      <w:pPr>
        <w:spacing w:line="50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73B1199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4）投标人资信证明文件，其中包括：</w:t>
      </w:r>
    </w:p>
    <w:p w14:paraId="6C308E7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I.关于投标人资格的声明函（见附件4）；</w:t>
      </w:r>
    </w:p>
    <w:p w14:paraId="1DD5B9B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II.企业营业执照（复印件加盖企业红章）</w:t>
      </w:r>
    </w:p>
    <w:p w14:paraId="2B4205D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III.有关鉴定材料、资质证书等资质文件；</w:t>
      </w:r>
    </w:p>
    <w:p w14:paraId="1EE6953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IV.体系认证及认证证明；</w:t>
      </w:r>
    </w:p>
    <w:p w14:paraId="0EF855B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 业绩及目前正在执行合同情况；</w:t>
      </w:r>
    </w:p>
    <w:p w14:paraId="67FC764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VI. 其它文件和资料。</w:t>
      </w:r>
    </w:p>
    <w:p w14:paraId="5B51D80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5）企业、产品简介；</w:t>
      </w:r>
    </w:p>
    <w:p w14:paraId="6DDA8A9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6）分项详细报价等（见附件5）；</w:t>
      </w:r>
      <w:bookmarkStart w:id="16" w:name="_GoBack"/>
      <w:bookmarkEnd w:id="16"/>
    </w:p>
    <w:p w14:paraId="7404C110">
      <w:pPr>
        <w:spacing w:line="50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）异议回复（详见附件7）</w:t>
      </w:r>
    </w:p>
    <w:p w14:paraId="756F71C7">
      <w:pPr>
        <w:spacing w:line="500" w:lineRule="exact"/>
        <w:ind w:firstLine="562" w:firstLineChars="200"/>
        <w:rPr>
          <w:rFonts w:hint="eastAsia" w:ascii="仿宋" w:hAnsi="仿宋" w:eastAsia="仿宋"/>
          <w:sz w:val="28"/>
          <w:szCs w:val="28"/>
        </w:rPr>
      </w:pPr>
      <w:r>
        <w:rPr>
          <w:rFonts w:hint="eastAsia" w:ascii="仿宋" w:hAnsi="仿宋" w:eastAsia="仿宋"/>
          <w:b/>
          <w:bCs/>
          <w:sz w:val="28"/>
          <w:szCs w:val="28"/>
        </w:rPr>
        <w:t>第二卷为技术部分（按招标方技术规范做相应说明）；</w:t>
      </w:r>
    </w:p>
    <w:p w14:paraId="4F6CDFF2">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第三卷为售后、技术服务和设计联络部分</w:t>
      </w:r>
    </w:p>
    <w:p w14:paraId="1ED81C1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3BB25CD">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2 投标文件的编制</w:t>
      </w:r>
    </w:p>
    <w:p w14:paraId="1DA61C3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2.1 一般要求</w:t>
      </w:r>
    </w:p>
    <w:p w14:paraId="08943AC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39A08A6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2.2 投标有效期</w:t>
      </w:r>
    </w:p>
    <w:p w14:paraId="5EE9CF7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投标文件从开标之日起，投标有效期为</w:t>
      </w:r>
      <w:r>
        <w:rPr>
          <w:rFonts w:hint="eastAsia" w:ascii="仿宋" w:hAnsi="仿宋" w:eastAsia="仿宋"/>
          <w:sz w:val="28"/>
          <w:szCs w:val="28"/>
          <w:lang w:val="en-US" w:eastAsia="zh-CN"/>
        </w:rPr>
        <w:t>180</w:t>
      </w:r>
      <w:r>
        <w:rPr>
          <w:rFonts w:hint="eastAsia" w:ascii="仿宋" w:hAnsi="仿宋" w:eastAsia="仿宋"/>
          <w:sz w:val="28"/>
          <w:szCs w:val="28"/>
        </w:rPr>
        <w:t>天。</w:t>
      </w:r>
    </w:p>
    <w:p w14:paraId="4AC9818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2.3 投标人建议</w:t>
      </w:r>
    </w:p>
    <w:p w14:paraId="2F7A8B0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B338E5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 投标文件的份数和签署</w:t>
      </w:r>
    </w:p>
    <w:p w14:paraId="53E8657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二</w:t>
      </w:r>
      <w:r>
        <w:rPr>
          <w:rFonts w:hint="eastAsia" w:ascii="仿宋" w:hAnsi="仿宋" w:eastAsia="仿宋"/>
          <w:sz w:val="28"/>
          <w:szCs w:val="28"/>
        </w:rPr>
        <w:t>份。</w:t>
      </w:r>
    </w:p>
    <w:p w14:paraId="15885E9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BA2A09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3 投标报价（详见报价单）</w:t>
      </w:r>
    </w:p>
    <w:p w14:paraId="18F704B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3.1 投标人应严格按照招标方投标报价单格式认真填写投标报价，对照技术规范列出各种分项价格表（分项报价列入商务卷）。</w:t>
      </w:r>
    </w:p>
    <w:p w14:paraId="577BB33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3.2 投标人的报价在报价有效期内固定不变。</w:t>
      </w:r>
    </w:p>
    <w:p w14:paraId="3F98538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3.4 投标报价应注明有效期，有效期应与投标有效期相一致。</w:t>
      </w:r>
    </w:p>
    <w:p w14:paraId="51C91B2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4 投标文件的递交</w:t>
      </w:r>
    </w:p>
    <w:p w14:paraId="2B22F74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 投标文件的密封与标记</w:t>
      </w:r>
    </w:p>
    <w:p w14:paraId="7775A919">
      <w:pPr>
        <w:spacing w:line="500" w:lineRule="exact"/>
        <w:ind w:firstLine="560" w:firstLineChars="200"/>
        <w:rPr>
          <w:rFonts w:hint="eastAsia" w:ascii="仿宋" w:hAnsi="仿宋" w:eastAsia="仿宋"/>
          <w:color w:val="auto"/>
          <w:sz w:val="28"/>
          <w:szCs w:val="28"/>
        </w:rPr>
      </w:pPr>
      <w:r>
        <w:rPr>
          <w:rFonts w:hint="eastAsia" w:ascii="仿宋" w:hAnsi="仿宋" w:eastAsia="仿宋"/>
          <w:sz w:val="28"/>
          <w:szCs w:val="28"/>
        </w:rPr>
        <w:t>4.1.1 投标文件的正本和副本应分别密封，封套上注明项目名称、设备名称、投标</w:t>
      </w:r>
      <w:r>
        <w:rPr>
          <w:rFonts w:hint="eastAsia" w:ascii="仿宋" w:hAnsi="仿宋" w:eastAsia="仿宋"/>
          <w:color w:val="auto"/>
          <w:sz w:val="28"/>
          <w:szCs w:val="28"/>
        </w:rPr>
        <w:t>人名址、“正本”“副本”字样及“</w:t>
      </w:r>
      <w:r>
        <w:rPr>
          <w:rFonts w:hint="eastAsia" w:ascii="仿宋" w:hAnsi="仿宋" w:eastAsia="仿宋"/>
          <w:b w:val="0"/>
          <w:bCs/>
          <w:color w:val="auto"/>
          <w:sz w:val="28"/>
          <w:szCs w:val="28"/>
        </w:rPr>
        <w:t>202</w:t>
      </w:r>
      <w:r>
        <w:rPr>
          <w:rFonts w:hint="eastAsia" w:ascii="仿宋" w:hAnsi="仿宋" w:eastAsia="仿宋"/>
          <w:b w:val="0"/>
          <w:bCs/>
          <w:color w:val="auto"/>
          <w:sz w:val="28"/>
          <w:szCs w:val="28"/>
          <w:lang w:val="en-US" w:eastAsia="zh-CN"/>
        </w:rPr>
        <w:t>6</w:t>
      </w:r>
      <w:r>
        <w:rPr>
          <w:rFonts w:hint="eastAsia" w:ascii="仿宋" w:hAnsi="仿宋" w:eastAsia="仿宋"/>
          <w:b w:val="0"/>
          <w:bCs/>
          <w:color w:val="auto"/>
          <w:sz w:val="28"/>
          <w:szCs w:val="28"/>
        </w:rPr>
        <w:t>年</w:t>
      </w:r>
      <w:r>
        <w:rPr>
          <w:rFonts w:hint="eastAsia" w:ascii="仿宋" w:hAnsi="仿宋" w:eastAsia="仿宋"/>
          <w:b w:val="0"/>
          <w:bCs/>
          <w:color w:val="auto"/>
          <w:sz w:val="28"/>
          <w:szCs w:val="28"/>
          <w:lang w:val="en-US" w:eastAsia="zh-CN"/>
        </w:rPr>
        <w:t>5</w:t>
      </w:r>
      <w:r>
        <w:rPr>
          <w:rFonts w:hint="eastAsia" w:ascii="仿宋" w:hAnsi="仿宋" w:eastAsia="仿宋"/>
          <w:b w:val="0"/>
          <w:bCs/>
          <w:color w:val="auto"/>
          <w:sz w:val="28"/>
          <w:szCs w:val="28"/>
        </w:rPr>
        <w:t>月</w:t>
      </w:r>
      <w:r>
        <w:rPr>
          <w:rFonts w:hint="eastAsia" w:ascii="仿宋" w:hAnsi="仿宋" w:eastAsia="仿宋"/>
          <w:b w:val="0"/>
          <w:bCs/>
          <w:color w:val="auto"/>
          <w:sz w:val="28"/>
          <w:szCs w:val="28"/>
          <w:lang w:val="en-US" w:eastAsia="zh-CN"/>
        </w:rPr>
        <w:t>28</w:t>
      </w:r>
      <w:r>
        <w:rPr>
          <w:rFonts w:hint="eastAsia" w:ascii="仿宋" w:hAnsi="仿宋" w:eastAsia="仿宋"/>
          <w:b w:val="0"/>
          <w:bCs/>
          <w:color w:val="auto"/>
          <w:sz w:val="28"/>
          <w:szCs w:val="28"/>
        </w:rPr>
        <w:t>日</w:t>
      </w:r>
      <w:r>
        <w:rPr>
          <w:rFonts w:hint="eastAsia" w:ascii="仿宋" w:hAnsi="仿宋" w:eastAsia="仿宋"/>
          <w:b w:val="0"/>
          <w:bCs/>
          <w:color w:val="auto"/>
          <w:sz w:val="28"/>
          <w:szCs w:val="28"/>
          <w:lang w:val="en-US" w:eastAsia="zh-CN"/>
        </w:rPr>
        <w:t>10时</w:t>
      </w:r>
      <w:r>
        <w:rPr>
          <w:rFonts w:hint="eastAsia" w:ascii="仿宋" w:hAnsi="仿宋" w:eastAsia="仿宋"/>
          <w:color w:val="auto"/>
          <w:sz w:val="28"/>
          <w:szCs w:val="28"/>
        </w:rPr>
        <w:t>（北京时间）之前不得启封”字样。</w:t>
      </w:r>
    </w:p>
    <w:p w14:paraId="77E50E67">
      <w:pPr>
        <w:spacing w:line="500" w:lineRule="exact"/>
        <w:ind w:firstLine="560" w:firstLineChars="200"/>
        <w:rPr>
          <w:rFonts w:hint="eastAsia" w:ascii="仿宋" w:hAnsi="仿宋" w:eastAsia="仿宋" w:cs="Times New Roman"/>
          <w:color w:val="auto"/>
          <w:sz w:val="28"/>
          <w:szCs w:val="28"/>
        </w:rPr>
      </w:pPr>
      <w:r>
        <w:rPr>
          <w:rFonts w:hint="eastAsia" w:ascii="仿宋" w:hAnsi="仿宋" w:eastAsia="仿宋"/>
          <w:color w:val="auto"/>
          <w:sz w:val="28"/>
          <w:szCs w:val="28"/>
        </w:rPr>
        <w:t>4</w:t>
      </w:r>
      <w:r>
        <w:rPr>
          <w:rFonts w:ascii="仿宋" w:hAnsi="仿宋" w:eastAsia="仿宋"/>
          <w:color w:val="auto"/>
          <w:sz w:val="28"/>
          <w:szCs w:val="28"/>
        </w:rPr>
        <w:t>.1.2</w:t>
      </w:r>
      <w:r>
        <w:rPr>
          <w:rFonts w:hint="eastAsia" w:ascii="仿宋" w:hAnsi="仿宋" w:eastAsia="仿宋" w:cs="Times New Roman"/>
          <w:color w:val="auto"/>
          <w:sz w:val="28"/>
          <w:szCs w:val="28"/>
        </w:rPr>
        <w:t>为便于开标唱标，投标人应将《投标报价单》另用档案袋单独密封，与投标文件一同提交，并在封面上注明项目名称、投标人名字、“投标报价表”字样及“202</w:t>
      </w:r>
      <w:r>
        <w:rPr>
          <w:rFonts w:hint="eastAsia" w:ascii="仿宋" w:hAnsi="仿宋" w:eastAsia="仿宋" w:cs="Times New Roman"/>
          <w:color w:val="auto"/>
          <w:sz w:val="28"/>
          <w:szCs w:val="28"/>
          <w:lang w:val="en-US" w:eastAsia="zh-CN"/>
        </w:rPr>
        <w:t>6</w:t>
      </w:r>
      <w:r>
        <w:rPr>
          <w:rFonts w:hint="eastAsia" w:ascii="仿宋" w:hAnsi="仿宋" w:eastAsia="仿宋" w:cs="Times New Roman"/>
          <w:color w:val="auto"/>
          <w:sz w:val="28"/>
          <w:szCs w:val="28"/>
        </w:rPr>
        <w:t>年</w:t>
      </w:r>
      <w:r>
        <w:rPr>
          <w:rFonts w:hint="eastAsia" w:ascii="仿宋" w:hAnsi="仿宋" w:eastAsia="仿宋" w:cs="Times New Roman"/>
          <w:color w:val="auto"/>
          <w:sz w:val="28"/>
          <w:szCs w:val="28"/>
          <w:lang w:val="en-US" w:eastAsia="zh-CN"/>
        </w:rPr>
        <w:t>5</w:t>
      </w:r>
      <w:r>
        <w:rPr>
          <w:rFonts w:hint="eastAsia" w:ascii="仿宋" w:hAnsi="仿宋" w:eastAsia="仿宋" w:cs="Times New Roman"/>
          <w:color w:val="auto"/>
          <w:sz w:val="28"/>
          <w:szCs w:val="28"/>
        </w:rPr>
        <w:t>月</w:t>
      </w:r>
      <w:r>
        <w:rPr>
          <w:rFonts w:hint="eastAsia" w:ascii="仿宋" w:hAnsi="仿宋" w:eastAsia="仿宋" w:cs="Times New Roman"/>
          <w:color w:val="auto"/>
          <w:sz w:val="28"/>
          <w:szCs w:val="28"/>
          <w:lang w:val="en-US" w:eastAsia="zh-CN"/>
        </w:rPr>
        <w:t>28</w:t>
      </w:r>
      <w:r>
        <w:rPr>
          <w:rFonts w:hint="eastAsia" w:ascii="仿宋" w:hAnsi="仿宋" w:eastAsia="仿宋" w:cs="Times New Roman"/>
          <w:color w:val="auto"/>
          <w:sz w:val="28"/>
          <w:szCs w:val="28"/>
        </w:rPr>
        <w:t>日</w:t>
      </w:r>
      <w:r>
        <w:rPr>
          <w:rFonts w:hint="eastAsia" w:ascii="仿宋" w:hAnsi="仿宋" w:eastAsia="仿宋" w:cs="Times New Roman"/>
          <w:color w:val="auto"/>
          <w:sz w:val="28"/>
          <w:szCs w:val="28"/>
          <w:lang w:val="en-US" w:eastAsia="zh-CN"/>
        </w:rPr>
        <w:t>10时</w:t>
      </w:r>
      <w:r>
        <w:rPr>
          <w:rFonts w:hint="eastAsia" w:ascii="仿宋" w:hAnsi="仿宋" w:eastAsia="仿宋" w:cs="Times New Roman"/>
          <w:color w:val="auto"/>
          <w:sz w:val="28"/>
          <w:szCs w:val="28"/>
        </w:rPr>
        <w:t>（北京时间）之前不得启封”字样。</w:t>
      </w:r>
    </w:p>
    <w:p w14:paraId="29667C0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w:t>
      </w:r>
    </w:p>
    <w:p w14:paraId="5BB1071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3168C795">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5</w:t>
      </w:r>
      <w:r>
        <w:rPr>
          <w:rFonts w:hint="eastAsia" w:ascii="仿宋" w:hAnsi="仿宋" w:eastAsia="仿宋"/>
          <w:b/>
          <w:bCs/>
          <w:sz w:val="28"/>
          <w:szCs w:val="28"/>
          <w:lang w:eastAsia="zh-CN"/>
        </w:rPr>
        <w:t>、</w:t>
      </w:r>
      <w:r>
        <w:rPr>
          <w:rFonts w:hint="eastAsia" w:ascii="仿宋" w:hAnsi="仿宋" w:eastAsia="仿宋"/>
          <w:b/>
          <w:bCs/>
          <w:sz w:val="28"/>
          <w:szCs w:val="28"/>
        </w:rPr>
        <w:t xml:space="preserve"> 无效投标：发生下列情况之一者，视为无效投标。</w:t>
      </w:r>
    </w:p>
    <w:p w14:paraId="1BBD5FA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   商务评标过程中，有下列情形之一者，应予废标：</w:t>
      </w:r>
    </w:p>
    <w:p w14:paraId="4B0AFF7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5.1.1  投标人及其制造商与招标人、招标机构有利害关系的。</w:t>
      </w:r>
    </w:p>
    <w:p w14:paraId="7FF7D08B">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610873E8">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1C537E99">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5.1.4  投标人业绩不能满足招标文件的要求。</w:t>
      </w:r>
    </w:p>
    <w:p w14:paraId="4A2C7BF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5.1.5  投标文件符合招标文件中规定废标的其他商务条款。</w:t>
      </w:r>
    </w:p>
    <w:p w14:paraId="279C780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   技术评标过程中，有下列情形之一者，应予废标：</w:t>
      </w:r>
    </w:p>
    <w:p w14:paraId="38B5F22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37175F7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16B632E6">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66CB4CC9">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w:t>
      </w:r>
      <w:r>
        <w:rPr>
          <w:rFonts w:ascii="仿宋" w:hAnsi="仿宋" w:eastAsia="仿宋"/>
          <w:sz w:val="28"/>
          <w:szCs w:val="28"/>
        </w:rPr>
        <w:t xml:space="preserve">3  </w:t>
      </w:r>
      <w:r>
        <w:rPr>
          <w:rFonts w:hint="eastAsia" w:ascii="仿宋" w:hAnsi="仿宋" w:eastAsia="仿宋"/>
          <w:sz w:val="28"/>
          <w:szCs w:val="28"/>
        </w:rPr>
        <w:t>投标文件的澄清</w:t>
      </w:r>
    </w:p>
    <w:p w14:paraId="204DB3C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5FF7B82E">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三、评标办法</w:t>
      </w:r>
    </w:p>
    <w:p w14:paraId="3D61AE74">
      <w:pPr>
        <w:spacing w:line="500" w:lineRule="exact"/>
        <w:ind w:firstLine="560" w:firstLineChars="200"/>
        <w:rPr>
          <w:rFonts w:hint="eastAsia" w:ascii="仿宋" w:hAnsi="仿宋" w:eastAsia="仿宋"/>
          <w:color w:val="auto"/>
          <w:sz w:val="28"/>
          <w:szCs w:val="28"/>
        </w:rPr>
      </w:pPr>
      <w:r>
        <w:rPr>
          <w:rFonts w:hint="eastAsia" w:ascii="仿宋" w:hAnsi="仿宋" w:eastAsia="仿宋"/>
          <w:sz w:val="28"/>
          <w:szCs w:val="28"/>
        </w:rPr>
        <w:t>1、本次评标采用综合评比、评分。评标小组依照本细则，对所有有效投标文件的投标</w:t>
      </w:r>
      <w:r>
        <w:rPr>
          <w:rFonts w:hint="eastAsia" w:ascii="仿宋" w:hAnsi="仿宋" w:eastAsia="仿宋"/>
          <w:color w:val="auto"/>
          <w:sz w:val="28"/>
          <w:szCs w:val="28"/>
        </w:rPr>
        <w:t>价格、商务部分、技术部分进行审查、评比、评分。投标价格权重60%，商务部分权重10%，技术部分权重30%。</w:t>
      </w:r>
    </w:p>
    <w:p w14:paraId="676E67A3">
      <w:pPr>
        <w:spacing w:line="500" w:lineRule="exact"/>
        <w:ind w:firstLine="560" w:firstLineChars="200"/>
        <w:rPr>
          <w:rFonts w:hint="eastAsia" w:ascii="仿宋" w:hAnsi="仿宋" w:eastAsia="仿宋"/>
          <w:sz w:val="28"/>
          <w:szCs w:val="28"/>
        </w:rPr>
      </w:pPr>
      <w:r>
        <w:rPr>
          <w:rFonts w:ascii="仿宋" w:hAnsi="仿宋" w:eastAsia="仿宋"/>
          <w:color w:val="auto"/>
          <w:sz w:val="28"/>
          <w:szCs w:val="28"/>
        </w:rPr>
        <w:t>投标人综合得分=</w:t>
      </w:r>
      <w:r>
        <w:rPr>
          <w:rFonts w:hint="eastAsia" w:ascii="仿宋" w:hAnsi="仿宋" w:eastAsia="仿宋"/>
          <w:color w:val="auto"/>
          <w:sz w:val="28"/>
          <w:szCs w:val="28"/>
        </w:rPr>
        <w:t>投标价格</w:t>
      </w:r>
      <w:r>
        <w:rPr>
          <w:rFonts w:ascii="仿宋" w:hAnsi="仿宋" w:eastAsia="仿宋"/>
          <w:color w:val="auto"/>
          <w:sz w:val="28"/>
          <w:szCs w:val="28"/>
        </w:rPr>
        <w:t>得分</w:t>
      </w:r>
      <w:r>
        <w:rPr>
          <w:rFonts w:hint="eastAsia" w:ascii="仿宋" w:hAnsi="仿宋" w:eastAsia="仿宋"/>
          <w:color w:val="auto"/>
          <w:sz w:val="28"/>
          <w:szCs w:val="28"/>
        </w:rPr>
        <w:t>+商务部分</w:t>
      </w:r>
      <w:r>
        <w:rPr>
          <w:rFonts w:ascii="仿宋" w:hAnsi="仿宋" w:eastAsia="仿宋"/>
          <w:color w:val="auto"/>
          <w:sz w:val="28"/>
          <w:szCs w:val="28"/>
        </w:rPr>
        <w:t>得分＋</w:t>
      </w:r>
      <w:r>
        <w:rPr>
          <w:rFonts w:hint="eastAsia" w:ascii="仿宋" w:hAnsi="仿宋" w:eastAsia="仿宋"/>
          <w:color w:val="auto"/>
          <w:sz w:val="28"/>
          <w:szCs w:val="28"/>
        </w:rPr>
        <w:t>技术部</w:t>
      </w:r>
      <w:r>
        <w:rPr>
          <w:rFonts w:hint="eastAsia" w:ascii="仿宋" w:hAnsi="仿宋" w:eastAsia="仿宋"/>
          <w:sz w:val="28"/>
          <w:szCs w:val="28"/>
        </w:rPr>
        <w:t>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各投标人的投标价格得分按以下公式计算：</w:t>
      </w:r>
    </w:p>
    <w:p w14:paraId="118ACDB5">
      <w:pPr>
        <w:spacing w:before="180" w:beforeLines="75" w:after="180" w:afterLines="75"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C＝60-10×（P-PMIN）/（PMAX-PMIN）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1502450A">
      <w:pPr>
        <w:spacing w:before="180" w:beforeLines="75" w:after="180" w:afterLines="75" w:line="500" w:lineRule="exact"/>
        <w:ind w:left="630" w:leftChars="300"/>
        <w:rPr>
          <w:rFonts w:hint="eastAsia" w:ascii="仿宋" w:hAnsi="仿宋" w:eastAsia="仿宋"/>
          <w:sz w:val="28"/>
          <w:szCs w:val="28"/>
        </w:rPr>
      </w:pPr>
      <w:r>
        <w:rPr>
          <w:rFonts w:hint="eastAsia" w:ascii="仿宋" w:hAnsi="仿宋" w:eastAsia="仿宋"/>
          <w:sz w:val="28"/>
          <w:szCs w:val="28"/>
        </w:rPr>
        <w:t xml:space="preserve">C：投标人的投标价格得分。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P：投标价格。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PMIN：最低投标价格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PMAX：最高投标价格</w:t>
      </w:r>
    </w:p>
    <w:p w14:paraId="131F518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综合评分高者优先列为中标候选单位</w:t>
      </w:r>
      <w:r>
        <w:rPr>
          <w:rFonts w:hint="eastAsia" w:ascii="仿宋" w:hAnsi="仿宋" w:eastAsia="仿宋"/>
          <w:sz w:val="28"/>
          <w:szCs w:val="28"/>
        </w:rPr>
        <w:t>。</w:t>
      </w:r>
    </w:p>
    <w:p w14:paraId="338740B2">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66C9BD49">
      <w:pPr>
        <w:spacing w:line="500" w:lineRule="exact"/>
        <w:ind w:firstLine="560" w:firstLineChars="200"/>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646F847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5、商务部分评分表（10分）</w:t>
      </w:r>
    </w:p>
    <w:p w14:paraId="2538C49C">
      <w:pPr>
        <w:spacing w:line="160" w:lineRule="exact"/>
        <w:ind w:firstLine="560" w:firstLineChars="200"/>
        <w:rPr>
          <w:rFonts w:hint="eastAsia" w:ascii="仿宋" w:hAnsi="仿宋" w:eastAsia="仿宋"/>
          <w:sz w:val="28"/>
          <w:szCs w:val="28"/>
        </w:rPr>
      </w:pPr>
    </w:p>
    <w:tbl>
      <w:tblPr>
        <w:tblStyle w:val="51"/>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3FA4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0DDB5B2F">
            <w:pPr>
              <w:jc w:val="center"/>
              <w:rPr>
                <w:rFonts w:hint="eastAsia" w:ascii="仿宋" w:hAnsi="仿宋" w:eastAsia="仿宋" w:cs="仿宋"/>
                <w:sz w:val="22"/>
              </w:rPr>
            </w:pPr>
            <w:r>
              <w:rPr>
                <w:rFonts w:hint="eastAsia" w:ascii="仿宋" w:hAnsi="仿宋" w:eastAsia="仿宋" w:cs="仿宋"/>
                <w:sz w:val="22"/>
              </w:rPr>
              <w:t>序号</w:t>
            </w:r>
          </w:p>
        </w:tc>
        <w:tc>
          <w:tcPr>
            <w:tcW w:w="1691" w:type="dxa"/>
            <w:vAlign w:val="center"/>
          </w:tcPr>
          <w:p w14:paraId="3345CAA1">
            <w:pPr>
              <w:jc w:val="center"/>
              <w:rPr>
                <w:rFonts w:hint="eastAsia" w:ascii="仿宋" w:hAnsi="仿宋" w:eastAsia="仿宋" w:cs="仿宋"/>
                <w:sz w:val="22"/>
              </w:rPr>
            </w:pPr>
            <w:r>
              <w:rPr>
                <w:rFonts w:hint="eastAsia" w:ascii="仿宋" w:hAnsi="仿宋" w:eastAsia="仿宋" w:cs="仿宋"/>
                <w:sz w:val="22"/>
              </w:rPr>
              <w:t>评分因素</w:t>
            </w:r>
          </w:p>
        </w:tc>
        <w:tc>
          <w:tcPr>
            <w:tcW w:w="1134" w:type="dxa"/>
            <w:vAlign w:val="center"/>
          </w:tcPr>
          <w:p w14:paraId="177B50F1">
            <w:pPr>
              <w:jc w:val="center"/>
              <w:rPr>
                <w:rFonts w:hint="eastAsia" w:ascii="仿宋" w:hAnsi="仿宋" w:eastAsia="仿宋" w:cs="仿宋"/>
                <w:sz w:val="22"/>
              </w:rPr>
            </w:pPr>
            <w:r>
              <w:rPr>
                <w:rFonts w:hint="eastAsia" w:ascii="仿宋" w:hAnsi="仿宋" w:eastAsia="仿宋" w:cs="仿宋"/>
                <w:sz w:val="22"/>
              </w:rPr>
              <w:t>考核内容</w:t>
            </w:r>
          </w:p>
        </w:tc>
        <w:tc>
          <w:tcPr>
            <w:tcW w:w="709" w:type="dxa"/>
            <w:vAlign w:val="center"/>
          </w:tcPr>
          <w:p w14:paraId="70DCE7D8">
            <w:pPr>
              <w:jc w:val="center"/>
              <w:rPr>
                <w:rFonts w:hint="eastAsia" w:ascii="仿宋" w:hAnsi="仿宋" w:eastAsia="仿宋" w:cs="仿宋"/>
                <w:sz w:val="22"/>
              </w:rPr>
            </w:pPr>
            <w:r>
              <w:rPr>
                <w:rFonts w:hint="eastAsia" w:ascii="仿宋" w:hAnsi="仿宋" w:eastAsia="仿宋" w:cs="仿宋"/>
                <w:sz w:val="22"/>
              </w:rPr>
              <w:t>标准分</w:t>
            </w:r>
          </w:p>
        </w:tc>
        <w:tc>
          <w:tcPr>
            <w:tcW w:w="4961" w:type="dxa"/>
            <w:vAlign w:val="center"/>
          </w:tcPr>
          <w:p w14:paraId="65B72F72">
            <w:pPr>
              <w:jc w:val="center"/>
              <w:rPr>
                <w:rFonts w:hint="eastAsia" w:ascii="仿宋" w:hAnsi="仿宋" w:eastAsia="仿宋" w:cs="仿宋"/>
                <w:sz w:val="22"/>
              </w:rPr>
            </w:pPr>
            <w:r>
              <w:rPr>
                <w:rFonts w:hint="eastAsia" w:ascii="仿宋" w:hAnsi="仿宋" w:eastAsia="仿宋" w:cs="仿宋"/>
                <w:sz w:val="22"/>
              </w:rPr>
              <w:t>评分标准说明</w:t>
            </w:r>
          </w:p>
        </w:tc>
      </w:tr>
      <w:tr w14:paraId="7952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13337B1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3904CEE2">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财务状况（1.5分）</w:t>
            </w:r>
          </w:p>
        </w:tc>
        <w:tc>
          <w:tcPr>
            <w:tcW w:w="1134" w:type="dxa"/>
            <w:vAlign w:val="center"/>
          </w:tcPr>
          <w:p w14:paraId="0881852D">
            <w:pPr>
              <w:spacing w:line="240" w:lineRule="exact"/>
              <w:rPr>
                <w:rFonts w:hint="eastAsia"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6BDED75A">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5EF886E3">
            <w:pPr>
              <w:snapToGrid w:val="0"/>
              <w:spacing w:line="240" w:lineRule="exact"/>
              <w:rPr>
                <w:rFonts w:hint="eastAsia" w:ascii="仿宋" w:hAnsi="仿宋" w:eastAsia="仿宋"/>
                <w:sz w:val="18"/>
                <w:szCs w:val="18"/>
              </w:rPr>
            </w:pPr>
            <w:r>
              <w:rPr>
                <w:rFonts w:hint="eastAsia" w:ascii="仿宋" w:hAnsi="仿宋" w:eastAsia="仿宋"/>
                <w:sz w:val="18"/>
                <w:szCs w:val="18"/>
              </w:rPr>
              <w:t>投标人提供近三年（2022年度、2023年度、2024年度）完整审计报告，企业连续三年均盈利得1.5分，两年（含两年）显示盈利得1分，两年以下显示盈利得0分。</w:t>
            </w:r>
          </w:p>
          <w:p w14:paraId="7F5BA194">
            <w:pPr>
              <w:spacing w:line="240" w:lineRule="exact"/>
              <w:rPr>
                <w:rFonts w:hint="eastAsia"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68B1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759AC536">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4D8CA286">
            <w:pPr>
              <w:snapToGrid w:val="0"/>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w:t>
            </w:r>
            <w:r>
              <w:rPr>
                <w:rFonts w:hint="eastAsia" w:ascii="仿宋" w:hAnsi="仿宋" w:eastAsia="仿宋" w:cs="仿宋"/>
                <w:sz w:val="18"/>
                <w:szCs w:val="18"/>
              </w:rPr>
              <w:t>1.5</w:t>
            </w:r>
            <w:r>
              <w:rPr>
                <w:rFonts w:ascii="仿宋" w:hAnsi="仿宋" w:eastAsia="仿宋" w:cs="仿宋"/>
                <w:sz w:val="18"/>
                <w:szCs w:val="18"/>
              </w:rPr>
              <w:t>分）</w:t>
            </w:r>
          </w:p>
        </w:tc>
        <w:tc>
          <w:tcPr>
            <w:tcW w:w="1134" w:type="dxa"/>
            <w:vAlign w:val="center"/>
          </w:tcPr>
          <w:p w14:paraId="2743DCE7">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717E44CF">
            <w:pPr>
              <w:spacing w:line="240" w:lineRule="exact"/>
              <w:jc w:val="center"/>
              <w:rPr>
                <w:rFonts w:hint="eastAsia" w:ascii="仿宋" w:hAnsi="仿宋" w:eastAsia="仿宋" w:cs="仿宋"/>
                <w:sz w:val="18"/>
                <w:szCs w:val="18"/>
              </w:rPr>
            </w:pPr>
          </w:p>
          <w:p w14:paraId="1422B09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11DC456E">
            <w:pPr>
              <w:snapToGrid w:val="0"/>
              <w:spacing w:line="240" w:lineRule="exact"/>
              <w:jc w:val="left"/>
              <w:rPr>
                <w:rFonts w:hint="eastAsia"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w:t>
            </w:r>
            <w:r>
              <w:rPr>
                <w:rFonts w:hint="eastAsia" w:ascii="仿宋" w:hAnsi="仿宋" w:eastAsia="仿宋" w:cs="仿宋"/>
                <w:sz w:val="18"/>
                <w:szCs w:val="18"/>
              </w:rPr>
              <w:t>每具备一个</w:t>
            </w:r>
            <w:r>
              <w:rPr>
                <w:rFonts w:ascii="仿宋" w:hAnsi="仿宋" w:eastAsia="仿宋" w:cs="仿宋"/>
                <w:sz w:val="18"/>
                <w:szCs w:val="18"/>
              </w:rPr>
              <w:t>得</w:t>
            </w:r>
            <w:r>
              <w:rPr>
                <w:rFonts w:hint="eastAsia" w:ascii="仿宋" w:hAnsi="仿宋" w:eastAsia="仿宋" w:cs="仿宋"/>
                <w:sz w:val="18"/>
                <w:szCs w:val="18"/>
              </w:rPr>
              <w:t>0.5</w:t>
            </w:r>
            <w:r>
              <w:rPr>
                <w:rFonts w:ascii="仿宋" w:hAnsi="仿宋" w:eastAsia="仿宋" w:cs="仿宋"/>
                <w:sz w:val="18"/>
                <w:szCs w:val="18"/>
              </w:rPr>
              <w:t>分</w:t>
            </w:r>
            <w:r>
              <w:rPr>
                <w:rFonts w:hint="eastAsia" w:ascii="仿宋" w:hAnsi="仿宋" w:eastAsia="仿宋" w:cs="仿宋"/>
                <w:sz w:val="18"/>
                <w:szCs w:val="18"/>
              </w:rPr>
              <w:t>，否则不得分。</w:t>
            </w:r>
          </w:p>
          <w:p w14:paraId="4A603A84">
            <w:pPr>
              <w:spacing w:line="240" w:lineRule="exact"/>
              <w:rPr>
                <w:rFonts w:hint="eastAsia"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5D36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exact"/>
          <w:jc w:val="center"/>
        </w:trPr>
        <w:tc>
          <w:tcPr>
            <w:tcW w:w="714" w:type="dxa"/>
            <w:vAlign w:val="center"/>
          </w:tcPr>
          <w:p w14:paraId="06CF2774">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3</w:t>
            </w:r>
          </w:p>
        </w:tc>
        <w:tc>
          <w:tcPr>
            <w:tcW w:w="1691" w:type="dxa"/>
            <w:vAlign w:val="center"/>
          </w:tcPr>
          <w:p w14:paraId="54293DC5">
            <w:pPr>
              <w:snapToGrid w:val="0"/>
              <w:spacing w:line="240" w:lineRule="exact"/>
              <w:jc w:val="center"/>
              <w:rPr>
                <w:rFonts w:hint="eastAsia" w:ascii="仿宋" w:hAnsi="仿宋" w:eastAsia="仿宋"/>
                <w:sz w:val="18"/>
                <w:szCs w:val="18"/>
              </w:rPr>
            </w:pPr>
            <w:r>
              <w:rPr>
                <w:rFonts w:ascii="仿宋" w:hAnsi="仿宋" w:eastAsia="仿宋"/>
                <w:sz w:val="18"/>
                <w:szCs w:val="18"/>
              </w:rPr>
              <w:t>信用评价</w:t>
            </w:r>
          </w:p>
          <w:p w14:paraId="4D3383FC">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（1.5分）</w:t>
            </w:r>
          </w:p>
        </w:tc>
        <w:tc>
          <w:tcPr>
            <w:tcW w:w="1134" w:type="dxa"/>
            <w:vAlign w:val="center"/>
          </w:tcPr>
          <w:p w14:paraId="4C5B3715">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625D06F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25E1A9AC">
            <w:pPr>
              <w:snapToGrid w:val="0"/>
              <w:spacing w:line="240" w:lineRule="exact"/>
              <w:rPr>
                <w:rFonts w:hint="eastAsia"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22</w:t>
            </w:r>
            <w:r>
              <w:rPr>
                <w:rFonts w:ascii="仿宋" w:hAnsi="仿宋" w:eastAsia="仿宋" w:cs="仿宋"/>
                <w:sz w:val="18"/>
                <w:szCs w:val="18"/>
              </w:rPr>
              <w:t>年以来连续三年被评为AAA级的企业得</w:t>
            </w:r>
            <w:r>
              <w:rPr>
                <w:rFonts w:hint="eastAsia" w:ascii="仿宋" w:hAnsi="仿宋" w:eastAsia="仿宋" w:cs="仿宋"/>
                <w:sz w:val="18"/>
                <w:szCs w:val="18"/>
              </w:rPr>
              <w:t>1.5</w:t>
            </w:r>
            <w:r>
              <w:rPr>
                <w:rFonts w:ascii="仿宋" w:hAnsi="仿宋" w:eastAsia="仿宋" w:cs="仿宋"/>
                <w:sz w:val="18"/>
                <w:szCs w:val="18"/>
              </w:rPr>
              <w:t>分；连续两年被评为AAA级的企业得</w:t>
            </w:r>
            <w:r>
              <w:rPr>
                <w:rFonts w:hint="eastAsia" w:ascii="仿宋" w:hAnsi="仿宋" w:eastAsia="仿宋" w:cs="仿宋"/>
                <w:sz w:val="18"/>
                <w:szCs w:val="18"/>
              </w:rPr>
              <w:t>1</w:t>
            </w:r>
            <w:r>
              <w:rPr>
                <w:rFonts w:ascii="仿宋" w:hAnsi="仿宋" w:eastAsia="仿宋" w:cs="仿宋"/>
                <w:sz w:val="18"/>
                <w:szCs w:val="18"/>
              </w:rPr>
              <w:t>分；一年内被评为AAA级的企业得</w:t>
            </w:r>
            <w:r>
              <w:rPr>
                <w:rFonts w:hint="eastAsia" w:ascii="仿宋" w:hAnsi="仿宋" w:eastAsia="仿宋" w:cs="仿宋"/>
                <w:sz w:val="18"/>
                <w:szCs w:val="18"/>
              </w:rPr>
              <w:t>0.5</w:t>
            </w:r>
            <w:r>
              <w:rPr>
                <w:rFonts w:ascii="仿宋" w:hAnsi="仿宋" w:eastAsia="仿宋" w:cs="仿宋"/>
                <w:sz w:val="18"/>
                <w:szCs w:val="18"/>
              </w:rPr>
              <w:t>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2712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714" w:type="dxa"/>
            <w:vMerge w:val="restart"/>
            <w:vAlign w:val="center"/>
          </w:tcPr>
          <w:p w14:paraId="1D5C31CF">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4</w:t>
            </w:r>
          </w:p>
        </w:tc>
        <w:tc>
          <w:tcPr>
            <w:tcW w:w="1691" w:type="dxa"/>
            <w:vMerge w:val="restart"/>
            <w:vAlign w:val="center"/>
          </w:tcPr>
          <w:p w14:paraId="74EF9149">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w:t>
            </w:r>
          </w:p>
          <w:p w14:paraId="25A59B7A">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（1.5分）</w:t>
            </w:r>
          </w:p>
        </w:tc>
        <w:tc>
          <w:tcPr>
            <w:tcW w:w="1134" w:type="dxa"/>
            <w:vAlign w:val="center"/>
          </w:tcPr>
          <w:p w14:paraId="5D4A57D5">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08186F4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2C71DC06">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72F6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714" w:type="dxa"/>
            <w:vMerge w:val="continue"/>
            <w:vAlign w:val="center"/>
          </w:tcPr>
          <w:p w14:paraId="0EE5D574">
            <w:pPr>
              <w:spacing w:line="240" w:lineRule="exact"/>
              <w:jc w:val="center"/>
              <w:rPr>
                <w:rFonts w:hint="eastAsia" w:ascii="仿宋" w:hAnsi="仿宋" w:eastAsia="仿宋" w:cs="仿宋"/>
                <w:sz w:val="18"/>
                <w:szCs w:val="18"/>
              </w:rPr>
            </w:pPr>
          </w:p>
        </w:tc>
        <w:tc>
          <w:tcPr>
            <w:tcW w:w="1691" w:type="dxa"/>
            <w:vMerge w:val="continue"/>
            <w:vAlign w:val="center"/>
          </w:tcPr>
          <w:p w14:paraId="223A7D96">
            <w:pPr>
              <w:snapToGrid w:val="0"/>
              <w:spacing w:line="240" w:lineRule="exact"/>
              <w:jc w:val="center"/>
              <w:rPr>
                <w:rFonts w:hint="eastAsia" w:ascii="仿宋" w:hAnsi="仿宋" w:eastAsia="仿宋"/>
                <w:sz w:val="18"/>
                <w:szCs w:val="18"/>
              </w:rPr>
            </w:pPr>
          </w:p>
        </w:tc>
        <w:tc>
          <w:tcPr>
            <w:tcW w:w="1134" w:type="dxa"/>
            <w:vAlign w:val="center"/>
          </w:tcPr>
          <w:p w14:paraId="38F0B10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04C4CCC4">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0CF01F8C">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094E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714" w:type="dxa"/>
            <w:vMerge w:val="continue"/>
            <w:vAlign w:val="center"/>
          </w:tcPr>
          <w:p w14:paraId="07221B95">
            <w:pPr>
              <w:spacing w:line="240" w:lineRule="exact"/>
              <w:jc w:val="center"/>
              <w:rPr>
                <w:rFonts w:hint="eastAsia" w:ascii="仿宋" w:hAnsi="仿宋" w:eastAsia="仿宋" w:cs="仿宋"/>
                <w:sz w:val="18"/>
                <w:szCs w:val="18"/>
              </w:rPr>
            </w:pPr>
          </w:p>
        </w:tc>
        <w:tc>
          <w:tcPr>
            <w:tcW w:w="1691" w:type="dxa"/>
            <w:vMerge w:val="continue"/>
            <w:vAlign w:val="center"/>
          </w:tcPr>
          <w:p w14:paraId="4288CC1D">
            <w:pPr>
              <w:snapToGrid w:val="0"/>
              <w:spacing w:line="240" w:lineRule="exact"/>
              <w:jc w:val="center"/>
              <w:rPr>
                <w:rFonts w:hint="eastAsia" w:ascii="仿宋" w:hAnsi="仿宋" w:eastAsia="仿宋"/>
                <w:sz w:val="18"/>
                <w:szCs w:val="18"/>
              </w:rPr>
            </w:pPr>
          </w:p>
        </w:tc>
        <w:tc>
          <w:tcPr>
            <w:tcW w:w="1134" w:type="dxa"/>
            <w:vAlign w:val="center"/>
          </w:tcPr>
          <w:p w14:paraId="150B5C17">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6FD892E1">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6287A83D">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6860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exact"/>
          <w:jc w:val="center"/>
        </w:trPr>
        <w:tc>
          <w:tcPr>
            <w:tcW w:w="714" w:type="dxa"/>
            <w:vAlign w:val="center"/>
          </w:tcPr>
          <w:p w14:paraId="1411DF9A">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0CBBD7C3">
            <w:pPr>
              <w:spacing w:line="240" w:lineRule="exact"/>
              <w:jc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p w14:paraId="1D510BE3">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（1分）</w:t>
            </w:r>
          </w:p>
        </w:tc>
        <w:tc>
          <w:tcPr>
            <w:tcW w:w="1134" w:type="dxa"/>
            <w:vAlign w:val="center"/>
          </w:tcPr>
          <w:p w14:paraId="4941D835">
            <w:pPr>
              <w:spacing w:line="240" w:lineRule="exact"/>
              <w:jc w:val="center"/>
              <w:rPr>
                <w:rFonts w:hint="eastAsia" w:ascii="仿宋" w:hAnsi="仿宋" w:eastAsia="仿宋" w:cs="仿宋"/>
                <w:sz w:val="18"/>
                <w:szCs w:val="18"/>
              </w:rPr>
            </w:pPr>
            <w:r>
              <w:rPr>
                <w:rFonts w:hint="eastAsia" w:ascii="仿宋" w:hAnsi="仿宋" w:eastAsia="仿宋" w:cs="仿宋"/>
                <w:snapToGrid w:val="0"/>
                <w:kern w:val="0"/>
                <w:sz w:val="18"/>
                <w:szCs w:val="18"/>
              </w:rPr>
              <w:t>实质性优惠</w:t>
            </w:r>
          </w:p>
        </w:tc>
        <w:tc>
          <w:tcPr>
            <w:tcW w:w="709" w:type="dxa"/>
            <w:vAlign w:val="center"/>
          </w:tcPr>
          <w:p w14:paraId="7E1053CC">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536BC48D">
            <w:pPr>
              <w:snapToGrid w:val="0"/>
              <w:spacing w:line="240" w:lineRule="exact"/>
              <w:rPr>
                <w:rFonts w:hint="eastAsia" w:ascii="仿宋" w:hAnsi="仿宋" w:eastAsia="仿宋" w:cs="仿宋"/>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满足招标文件要求外，投标人另外提供的实质性优惠条件或增值服务的，根据投标人提供的承诺书，进行横向比较后打0-1分，不提供不得分。</w:t>
            </w:r>
          </w:p>
        </w:tc>
      </w:tr>
      <w:tr w14:paraId="2724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714" w:type="dxa"/>
            <w:vAlign w:val="center"/>
          </w:tcPr>
          <w:p w14:paraId="4D2E082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79FBC277">
            <w:pPr>
              <w:snapToGrid w:val="0"/>
              <w:spacing w:line="240" w:lineRule="exact"/>
              <w:jc w:val="center"/>
              <w:rPr>
                <w:rFonts w:hint="eastAsia" w:ascii="仿宋" w:hAnsi="仿宋" w:eastAsia="仿宋"/>
                <w:sz w:val="18"/>
                <w:szCs w:val="18"/>
              </w:rPr>
            </w:pPr>
            <w:r>
              <w:rPr>
                <w:rFonts w:hint="eastAsia" w:ascii="仿宋" w:hAnsi="仿宋" w:eastAsia="仿宋"/>
                <w:sz w:val="18"/>
                <w:szCs w:val="18"/>
              </w:rPr>
              <w:t>质保承诺</w:t>
            </w:r>
          </w:p>
          <w:p w14:paraId="4A604A90">
            <w:pPr>
              <w:spacing w:line="240" w:lineRule="exact"/>
              <w:jc w:val="center"/>
              <w:rPr>
                <w:rFonts w:hint="eastAsia" w:ascii="仿宋" w:hAnsi="仿宋" w:eastAsia="仿宋" w:cs="仿宋"/>
                <w:sz w:val="18"/>
                <w:szCs w:val="18"/>
              </w:rPr>
            </w:pPr>
            <w:r>
              <w:rPr>
                <w:rFonts w:hint="eastAsia" w:ascii="仿宋" w:hAnsi="仿宋" w:eastAsia="仿宋"/>
                <w:sz w:val="18"/>
                <w:szCs w:val="18"/>
              </w:rPr>
              <w:t>（1分）</w:t>
            </w:r>
          </w:p>
        </w:tc>
        <w:tc>
          <w:tcPr>
            <w:tcW w:w="1134" w:type="dxa"/>
            <w:vAlign w:val="center"/>
          </w:tcPr>
          <w:p w14:paraId="6B194F8D">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450DBAE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3AC6F785">
            <w:pPr>
              <w:pStyle w:val="21"/>
              <w:snapToGrid w:val="0"/>
              <w:spacing w:line="240" w:lineRule="exact"/>
              <w:rPr>
                <w:rFonts w:hint="eastAsia"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w:t>
            </w:r>
            <w:r>
              <w:rPr>
                <w:rFonts w:hint="eastAsia" w:ascii="仿宋" w:hAnsi="仿宋" w:eastAsia="仿宋" w:cs="仿宋"/>
                <w:color w:val="auto"/>
                <w:sz w:val="18"/>
                <w:szCs w:val="18"/>
              </w:rPr>
              <w:t>0.5</w:t>
            </w:r>
            <w:r>
              <w:rPr>
                <w:rFonts w:ascii="仿宋" w:hAnsi="仿宋" w:eastAsia="仿宋" w:cs="仿宋"/>
                <w:color w:val="auto"/>
                <w:sz w:val="18"/>
                <w:szCs w:val="18"/>
              </w:rPr>
              <w:t>分，最高得</w:t>
            </w:r>
            <w:r>
              <w:rPr>
                <w:rFonts w:hint="eastAsia" w:ascii="仿宋" w:hAnsi="仿宋" w:eastAsia="仿宋" w:cs="仿宋"/>
                <w:color w:val="auto"/>
                <w:sz w:val="18"/>
                <w:szCs w:val="18"/>
              </w:rPr>
              <w:t>1</w:t>
            </w:r>
            <w:r>
              <w:rPr>
                <w:rFonts w:ascii="仿宋" w:hAnsi="仿宋" w:eastAsia="仿宋" w:cs="仿宋"/>
                <w:color w:val="auto"/>
                <w:sz w:val="18"/>
                <w:szCs w:val="18"/>
              </w:rPr>
              <w:t>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7E12827A">
            <w:pPr>
              <w:spacing w:line="240" w:lineRule="exact"/>
              <w:rPr>
                <w:rFonts w:hint="eastAsia" w:ascii="仿宋" w:hAnsi="仿宋" w:eastAsia="仿宋" w:cs="仿宋"/>
                <w:sz w:val="18"/>
                <w:szCs w:val="18"/>
              </w:rPr>
            </w:pPr>
            <w:r>
              <w:rPr>
                <w:rFonts w:hint="eastAsia" w:ascii="仿宋" w:hAnsi="仿宋" w:eastAsia="仿宋"/>
                <w:b/>
                <w:bCs/>
                <w:sz w:val="18"/>
                <w:szCs w:val="18"/>
              </w:rPr>
              <w:t>（须在投标文件中附承诺并加盖公章，否则不得分。）</w:t>
            </w:r>
          </w:p>
        </w:tc>
      </w:tr>
      <w:tr w14:paraId="08CD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exact"/>
          <w:jc w:val="center"/>
        </w:trPr>
        <w:tc>
          <w:tcPr>
            <w:tcW w:w="714" w:type="dxa"/>
            <w:vAlign w:val="center"/>
          </w:tcPr>
          <w:p w14:paraId="3F905657">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7</w:t>
            </w:r>
          </w:p>
        </w:tc>
        <w:tc>
          <w:tcPr>
            <w:tcW w:w="1691" w:type="dxa"/>
            <w:vAlign w:val="center"/>
          </w:tcPr>
          <w:p w14:paraId="1F4D196E">
            <w:pPr>
              <w:snapToGrid w:val="0"/>
              <w:spacing w:line="240" w:lineRule="exact"/>
              <w:jc w:val="center"/>
              <w:rPr>
                <w:rFonts w:hint="eastAsia" w:ascii="仿宋" w:hAnsi="仿宋" w:eastAsia="仿宋"/>
                <w:sz w:val="18"/>
                <w:szCs w:val="18"/>
              </w:rPr>
            </w:pPr>
            <w:r>
              <w:rPr>
                <w:rFonts w:hint="eastAsia" w:ascii="仿宋" w:hAnsi="仿宋" w:eastAsia="仿宋"/>
                <w:sz w:val="18"/>
                <w:szCs w:val="18"/>
              </w:rPr>
              <w:t>综合评价（2分）</w:t>
            </w:r>
          </w:p>
        </w:tc>
        <w:tc>
          <w:tcPr>
            <w:tcW w:w="1134" w:type="dxa"/>
            <w:vAlign w:val="center"/>
          </w:tcPr>
          <w:p w14:paraId="6BD551EC">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综合评价</w:t>
            </w:r>
          </w:p>
        </w:tc>
        <w:tc>
          <w:tcPr>
            <w:tcW w:w="709" w:type="dxa"/>
            <w:vAlign w:val="center"/>
          </w:tcPr>
          <w:p w14:paraId="71B4B714">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4961" w:type="dxa"/>
            <w:vAlign w:val="center"/>
          </w:tcPr>
          <w:p w14:paraId="3CE06D48">
            <w:pPr>
              <w:pStyle w:val="21"/>
              <w:snapToGrid w:val="0"/>
              <w:spacing w:line="240" w:lineRule="exact"/>
              <w:rPr>
                <w:rFonts w:hint="eastAsia" w:ascii="仿宋" w:hAnsi="仿宋" w:eastAsia="仿宋" w:cs="仿宋"/>
                <w:color w:val="auto"/>
                <w:sz w:val="18"/>
                <w:szCs w:val="18"/>
              </w:rPr>
            </w:pPr>
            <w:r>
              <w:rPr>
                <w:rFonts w:hint="eastAsia" w:ascii="仿宋" w:hAnsi="仿宋" w:eastAsia="仿宋"/>
                <w:color w:val="000000" w:themeColor="text1"/>
                <w:sz w:val="18"/>
                <w:szCs w:val="18"/>
                <w14:textFill>
                  <w14:solidFill>
                    <w14:schemeClr w14:val="tx1"/>
                  </w14:solidFill>
                </w14:textFill>
              </w:rPr>
              <w:t>对投标单位的能力以及完成项目的进度、质量、安全、信誉等方面</w:t>
            </w:r>
            <w:r>
              <w:rPr>
                <w:rFonts w:ascii="仿宋" w:hAnsi="仿宋" w:eastAsia="仿宋"/>
                <w:color w:val="000000" w:themeColor="text1"/>
                <w:sz w:val="18"/>
                <w:szCs w:val="18"/>
                <w14:textFill>
                  <w14:solidFill>
                    <w14:schemeClr w14:val="tx1"/>
                  </w14:solidFill>
                </w14:textFill>
              </w:rPr>
              <w:t>进行综合评价</w:t>
            </w:r>
          </w:p>
        </w:tc>
      </w:tr>
    </w:tbl>
    <w:p w14:paraId="43A16035">
      <w:pPr>
        <w:spacing w:line="240" w:lineRule="exact"/>
        <w:ind w:firstLine="560" w:firstLineChars="200"/>
        <w:rPr>
          <w:rFonts w:hint="eastAsia" w:ascii="仿宋" w:hAnsi="仿宋" w:eastAsia="仿宋"/>
          <w:sz w:val="28"/>
          <w:szCs w:val="28"/>
        </w:rPr>
      </w:pPr>
    </w:p>
    <w:p w14:paraId="09004DF0">
      <w:pPr>
        <w:spacing w:line="460" w:lineRule="exact"/>
        <w:ind w:firstLine="560" w:firstLineChars="200"/>
        <w:rPr>
          <w:rFonts w:hint="eastAsia" w:ascii="宋体" w:hAnsi="宋体"/>
          <w:b/>
          <w:szCs w:val="21"/>
        </w:rPr>
      </w:pPr>
      <w:r>
        <w:rPr>
          <w:rFonts w:hint="eastAsia" w:ascii="仿宋" w:hAnsi="仿宋" w:eastAsia="仿宋"/>
          <w:sz w:val="28"/>
          <w:szCs w:val="28"/>
        </w:rPr>
        <w:t>6、技术评分表</w:t>
      </w:r>
    </w:p>
    <w:p w14:paraId="6BBAA5AF">
      <w:pPr>
        <w:spacing w:line="460" w:lineRule="exact"/>
        <w:ind w:firstLine="2741" w:firstLineChars="1300"/>
        <w:rPr>
          <w:rFonts w:hint="eastAsia" w:ascii="宋体" w:hAnsi="宋体"/>
          <w:b/>
          <w:szCs w:val="21"/>
        </w:rPr>
      </w:pPr>
      <w:r>
        <w:rPr>
          <w:rFonts w:hint="eastAsia" w:ascii="宋体" w:hAnsi="宋体"/>
          <w:b/>
          <w:szCs w:val="21"/>
        </w:rPr>
        <w:t>技术部分评分表（30分）</w:t>
      </w:r>
    </w:p>
    <w:p w14:paraId="72731EEF">
      <w:pPr>
        <w:spacing w:line="160" w:lineRule="exact"/>
        <w:ind w:firstLine="2741" w:firstLineChars="1300"/>
        <w:rPr>
          <w:rFonts w:hint="eastAsia" w:ascii="宋体" w:hAnsi="宋体"/>
          <w:b/>
          <w:szCs w:val="21"/>
        </w:rPr>
      </w:pPr>
    </w:p>
    <w:tbl>
      <w:tblPr>
        <w:tblStyle w:val="51"/>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461"/>
      </w:tblGrid>
      <w:tr w14:paraId="035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7B7E4C23">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15E2F182">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461" w:type="dxa"/>
            <w:vAlign w:val="center"/>
          </w:tcPr>
          <w:p w14:paraId="0D2EB919">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77E1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9" w:hRule="atLeast"/>
          <w:jc w:val="center"/>
        </w:trPr>
        <w:tc>
          <w:tcPr>
            <w:tcW w:w="421" w:type="dxa"/>
            <w:vAlign w:val="center"/>
          </w:tcPr>
          <w:p w14:paraId="1C9390B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0FC5A7C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基本功能与配置</w:t>
            </w:r>
          </w:p>
        </w:tc>
        <w:tc>
          <w:tcPr>
            <w:tcW w:w="709" w:type="dxa"/>
            <w:vAlign w:val="center"/>
          </w:tcPr>
          <w:p w14:paraId="2D7F2A2F">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6</w:t>
            </w:r>
          </w:p>
        </w:tc>
        <w:tc>
          <w:tcPr>
            <w:tcW w:w="6461" w:type="dxa"/>
            <w:vAlign w:val="center"/>
          </w:tcPr>
          <w:p w14:paraId="7459272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投标方根据招标文件技术部分编制投标方案，填写供货清单、设备参数，说明设备特点，对招标书响应情况，填写技术差异表等。对设备的配置、功能、性能进行评分：1-</w:t>
            </w:r>
            <w:r>
              <w:rPr>
                <w:rFonts w:hint="eastAsia" w:ascii="仿宋" w:hAnsi="仿宋" w:eastAsia="仿宋" w:cs="仿宋"/>
                <w:snapToGrid w:val="0"/>
                <w:kern w:val="0"/>
                <w:sz w:val="18"/>
                <w:szCs w:val="18"/>
                <w:lang w:val="en-US" w:eastAsia="zh-CN"/>
              </w:rPr>
              <w:t>6</w:t>
            </w:r>
            <w:r>
              <w:rPr>
                <w:rFonts w:hint="eastAsia" w:ascii="仿宋" w:hAnsi="仿宋" w:eastAsia="仿宋" w:cs="仿宋"/>
                <w:snapToGrid w:val="0"/>
                <w:kern w:val="0"/>
                <w:sz w:val="18"/>
                <w:szCs w:val="18"/>
              </w:rPr>
              <w:t>分</w:t>
            </w:r>
          </w:p>
        </w:tc>
      </w:tr>
      <w:tr w14:paraId="3D5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421" w:type="dxa"/>
            <w:vAlign w:val="center"/>
          </w:tcPr>
          <w:p w14:paraId="43BAB7C4">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shd w:val="clear" w:color="auto" w:fill="auto"/>
            <w:vAlign w:val="center"/>
          </w:tcPr>
          <w:p w14:paraId="2A23FB6D">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w:t>
            </w:r>
          </w:p>
        </w:tc>
        <w:tc>
          <w:tcPr>
            <w:tcW w:w="709" w:type="dxa"/>
            <w:shd w:val="clear" w:color="auto" w:fill="auto"/>
            <w:vAlign w:val="center"/>
          </w:tcPr>
          <w:p w14:paraId="3BA95DA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5</w:t>
            </w:r>
          </w:p>
        </w:tc>
        <w:tc>
          <w:tcPr>
            <w:tcW w:w="6461" w:type="dxa"/>
            <w:shd w:val="clear" w:color="auto" w:fill="auto"/>
            <w:vAlign w:val="center"/>
          </w:tcPr>
          <w:p w14:paraId="4ED00687">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sz w:val="18"/>
                <w:szCs w:val="18"/>
              </w:rPr>
              <w:t>投标方应根据项目的特点，编制具有可行性的项目实施方案，包括但不限于执行标准清单、设备的制作工艺详细说明、设备质量保证措施、供货组织计划、交货期保证措施、安全管理等。</w:t>
            </w:r>
            <w:r>
              <w:rPr>
                <w:rFonts w:hint="eastAsia" w:ascii="仿宋" w:hAnsi="仿宋" w:eastAsia="仿宋" w:cs="仿宋"/>
                <w:snapToGrid w:val="0"/>
                <w:kern w:val="0"/>
                <w:sz w:val="18"/>
                <w:szCs w:val="18"/>
              </w:rPr>
              <w:t>对生产工艺、管理水平、技术水平、专利情况</w:t>
            </w:r>
            <w:r>
              <w:rPr>
                <w:rFonts w:hint="eastAsia" w:ascii="仿宋" w:hAnsi="仿宋" w:eastAsia="仿宋" w:cs="仿宋"/>
                <w:snapToGrid w:val="0"/>
                <w:kern w:val="0"/>
                <w:sz w:val="18"/>
                <w:szCs w:val="18"/>
                <w:lang w:eastAsia="zh-CN"/>
              </w:rPr>
              <w:t>、</w:t>
            </w:r>
            <w:r>
              <w:rPr>
                <w:rFonts w:hint="eastAsia" w:ascii="仿宋" w:hAnsi="仿宋" w:eastAsia="仿宋" w:cs="仿宋"/>
                <w:snapToGrid w:val="0"/>
                <w:kern w:val="0"/>
                <w:sz w:val="18"/>
                <w:szCs w:val="18"/>
                <w:lang w:val="en-US" w:eastAsia="zh-CN"/>
              </w:rPr>
              <w:t>安装调试方案</w:t>
            </w:r>
            <w:r>
              <w:rPr>
                <w:rFonts w:hint="eastAsia" w:ascii="仿宋" w:hAnsi="仿宋" w:eastAsia="仿宋" w:cs="仿宋"/>
                <w:snapToGrid w:val="0"/>
                <w:kern w:val="0"/>
                <w:sz w:val="18"/>
                <w:szCs w:val="18"/>
              </w:rPr>
              <w:t>等进行综合评价：1-</w:t>
            </w:r>
            <w:r>
              <w:rPr>
                <w:rFonts w:hint="eastAsia" w:ascii="仿宋" w:hAnsi="仿宋" w:eastAsia="仿宋" w:cs="仿宋"/>
                <w:snapToGrid w:val="0"/>
                <w:kern w:val="0"/>
                <w:sz w:val="18"/>
                <w:szCs w:val="18"/>
                <w:lang w:val="en-US" w:eastAsia="zh-CN"/>
              </w:rPr>
              <w:t>5</w:t>
            </w:r>
            <w:r>
              <w:rPr>
                <w:rFonts w:hint="eastAsia" w:ascii="仿宋" w:hAnsi="仿宋" w:eastAsia="仿宋" w:cs="仿宋"/>
                <w:snapToGrid w:val="0"/>
                <w:kern w:val="0"/>
                <w:sz w:val="18"/>
                <w:szCs w:val="18"/>
              </w:rPr>
              <w:t>分</w:t>
            </w:r>
          </w:p>
        </w:tc>
      </w:tr>
      <w:tr w14:paraId="1B9C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421" w:type="dxa"/>
            <w:vAlign w:val="center"/>
          </w:tcPr>
          <w:p w14:paraId="498F7F4C">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shd w:val="clear" w:color="auto" w:fill="auto"/>
            <w:vAlign w:val="center"/>
          </w:tcPr>
          <w:p w14:paraId="735E2B9E">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设备设计、制作、检验</w:t>
            </w:r>
          </w:p>
        </w:tc>
        <w:tc>
          <w:tcPr>
            <w:tcW w:w="709" w:type="dxa"/>
            <w:shd w:val="clear" w:color="auto" w:fill="auto"/>
            <w:vAlign w:val="center"/>
          </w:tcPr>
          <w:p w14:paraId="6C37AC22">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4087865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根据投标方设备的设计、检验测试、生产装备及技术力量打分：0-3分</w:t>
            </w:r>
          </w:p>
        </w:tc>
      </w:tr>
      <w:tr w14:paraId="6BF6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4" w:hRule="atLeast"/>
          <w:jc w:val="center"/>
        </w:trPr>
        <w:tc>
          <w:tcPr>
            <w:tcW w:w="421" w:type="dxa"/>
            <w:vAlign w:val="center"/>
          </w:tcPr>
          <w:p w14:paraId="42ECE6DD">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shd w:val="clear" w:color="auto" w:fill="auto"/>
            <w:vAlign w:val="center"/>
          </w:tcPr>
          <w:p w14:paraId="057ECC1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随机备件、工具</w:t>
            </w:r>
          </w:p>
        </w:tc>
        <w:tc>
          <w:tcPr>
            <w:tcW w:w="709" w:type="dxa"/>
            <w:shd w:val="clear" w:color="auto" w:fill="auto"/>
            <w:vAlign w:val="center"/>
          </w:tcPr>
          <w:p w14:paraId="7A80147C">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41BFFA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根据投标方随机备品备件、工具的提供情况，进行横向比较后打分：0-</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796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0" w:hRule="atLeast"/>
          <w:jc w:val="center"/>
        </w:trPr>
        <w:tc>
          <w:tcPr>
            <w:tcW w:w="421" w:type="dxa"/>
            <w:vAlign w:val="center"/>
          </w:tcPr>
          <w:p w14:paraId="4BA451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shd w:val="clear" w:color="auto" w:fill="auto"/>
            <w:vAlign w:val="center"/>
          </w:tcPr>
          <w:p w14:paraId="343D33F8">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z w:val="18"/>
                <w:szCs w:val="18"/>
              </w:rPr>
              <w:t>业绩</w:t>
            </w:r>
          </w:p>
        </w:tc>
        <w:tc>
          <w:tcPr>
            <w:tcW w:w="709" w:type="dxa"/>
            <w:shd w:val="clear" w:color="auto" w:fill="auto"/>
            <w:vAlign w:val="center"/>
          </w:tcPr>
          <w:p w14:paraId="2B609CA0">
            <w:pPr>
              <w:suppressLineNumbers/>
              <w:suppressAutoHyphens/>
              <w:kinsoku w:val="0"/>
              <w:snapToGrid w:val="0"/>
              <w:spacing w:line="240" w:lineRule="exact"/>
              <w:ind w:left="201" w:leftChars="0" w:hanging="201" w:hangingChars="112"/>
              <w:jc w:val="center"/>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z w:val="18"/>
                <w:szCs w:val="18"/>
                <w:lang w:val="en-US" w:eastAsia="zh-CN"/>
              </w:rPr>
              <w:t>3</w:t>
            </w:r>
          </w:p>
        </w:tc>
        <w:tc>
          <w:tcPr>
            <w:tcW w:w="6461" w:type="dxa"/>
            <w:shd w:val="clear" w:color="auto" w:fill="auto"/>
            <w:vAlign w:val="center"/>
          </w:tcPr>
          <w:p w14:paraId="3A681963">
            <w:pPr>
              <w:spacing w:line="240" w:lineRule="exact"/>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投标方需提供近3年至少5台撕碎机或斗式提升机或雷蒙磨的业绩。</w:t>
            </w:r>
            <w:r>
              <w:rPr>
                <w:rFonts w:hint="eastAsia" w:ascii="仿宋" w:hAnsi="仿宋" w:eastAsia="仿宋"/>
                <w:sz w:val="18"/>
                <w:szCs w:val="18"/>
              </w:rPr>
              <w:t>每具备一个业绩加1分，最多得</w:t>
            </w:r>
            <w:r>
              <w:rPr>
                <w:rFonts w:hint="eastAsia" w:ascii="仿宋" w:hAnsi="仿宋" w:eastAsia="仿宋"/>
                <w:sz w:val="18"/>
                <w:szCs w:val="18"/>
                <w:lang w:val="en-US" w:eastAsia="zh-CN"/>
              </w:rPr>
              <w:t>3</w:t>
            </w:r>
            <w:r>
              <w:rPr>
                <w:rFonts w:hint="eastAsia" w:ascii="仿宋" w:hAnsi="仿宋" w:eastAsia="仿宋"/>
                <w:sz w:val="18"/>
                <w:szCs w:val="18"/>
              </w:rPr>
              <w:t>分；</w:t>
            </w:r>
            <w:r>
              <w:rPr>
                <w:rFonts w:hint="eastAsia" w:ascii="仿宋" w:hAnsi="仿宋" w:eastAsia="仿宋" w:cs="仿宋"/>
                <w:snapToGrid w:val="0"/>
                <w:kern w:val="0"/>
                <w:sz w:val="18"/>
                <w:szCs w:val="18"/>
              </w:rPr>
              <w:t>业绩中要列出项目明细，所有业绩均须在投标文件中提供合同关键页扫描件</w:t>
            </w:r>
          </w:p>
        </w:tc>
      </w:tr>
      <w:tr w14:paraId="79BA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1" w:hRule="atLeast"/>
          <w:jc w:val="center"/>
        </w:trPr>
        <w:tc>
          <w:tcPr>
            <w:tcW w:w="421" w:type="dxa"/>
            <w:shd w:val="clear" w:color="auto" w:fill="auto"/>
            <w:vAlign w:val="center"/>
          </w:tcPr>
          <w:p w14:paraId="05B7751C">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shd w:val="clear" w:color="auto" w:fill="auto"/>
            <w:vAlign w:val="center"/>
          </w:tcPr>
          <w:p w14:paraId="02C150B7">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技术培训方案</w:t>
            </w:r>
          </w:p>
        </w:tc>
        <w:tc>
          <w:tcPr>
            <w:tcW w:w="709" w:type="dxa"/>
            <w:shd w:val="clear" w:color="auto" w:fill="auto"/>
            <w:vAlign w:val="center"/>
          </w:tcPr>
          <w:p w14:paraId="5A432E53">
            <w:pPr>
              <w:suppressLineNumbers/>
              <w:suppressAutoHyphens/>
              <w:kinsoku w:val="0"/>
              <w:snapToGrid w:val="0"/>
              <w:spacing w:line="240" w:lineRule="exact"/>
              <w:ind w:left="201" w:leftChars="0" w:hanging="201" w:hangingChars="112"/>
              <w:jc w:val="center"/>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3</w:t>
            </w:r>
          </w:p>
        </w:tc>
        <w:tc>
          <w:tcPr>
            <w:tcW w:w="6461" w:type="dxa"/>
            <w:shd w:val="clear" w:color="auto" w:fill="auto"/>
            <w:vAlign w:val="center"/>
          </w:tcPr>
          <w:p w14:paraId="78C9C1E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根据技术培训方案的完善程度打分：0-3分</w:t>
            </w:r>
          </w:p>
        </w:tc>
      </w:tr>
      <w:tr w14:paraId="1C95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21" w:type="dxa"/>
            <w:shd w:val="clear" w:color="auto" w:fill="auto"/>
            <w:vAlign w:val="center"/>
          </w:tcPr>
          <w:p w14:paraId="540D274F">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7</w:t>
            </w:r>
          </w:p>
        </w:tc>
        <w:tc>
          <w:tcPr>
            <w:tcW w:w="1275" w:type="dxa"/>
            <w:shd w:val="clear" w:color="auto" w:fill="auto"/>
            <w:vAlign w:val="center"/>
          </w:tcPr>
          <w:p w14:paraId="11D4D3E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合理化建议</w:t>
            </w:r>
          </w:p>
        </w:tc>
        <w:tc>
          <w:tcPr>
            <w:tcW w:w="709" w:type="dxa"/>
            <w:shd w:val="clear" w:color="auto" w:fill="auto"/>
            <w:vAlign w:val="center"/>
          </w:tcPr>
          <w:p w14:paraId="5FF6BF75">
            <w:pPr>
              <w:suppressLineNumbers/>
              <w:suppressAutoHyphens/>
              <w:kinsoku w:val="0"/>
              <w:snapToGrid w:val="0"/>
              <w:spacing w:line="240" w:lineRule="exact"/>
              <w:ind w:left="201" w:leftChars="0" w:hanging="201" w:hangingChars="112"/>
              <w:jc w:val="center"/>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2</w:t>
            </w:r>
          </w:p>
        </w:tc>
        <w:tc>
          <w:tcPr>
            <w:tcW w:w="6461" w:type="dxa"/>
            <w:shd w:val="clear" w:color="auto" w:fill="auto"/>
            <w:vAlign w:val="center"/>
          </w:tcPr>
          <w:p w14:paraId="581440D8">
            <w:pPr>
              <w:pStyle w:val="244"/>
              <w:snapToGrid w:val="0"/>
              <w:spacing w:line="240" w:lineRule="exact"/>
              <w:ind w:firstLine="0" w:firstLineChars="0"/>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sz w:val="18"/>
                <w:szCs w:val="18"/>
              </w:rPr>
              <w:t>招标方每采纳1条得1分，最高2分；</w:t>
            </w:r>
          </w:p>
        </w:tc>
      </w:tr>
      <w:tr w14:paraId="2232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6" w:hRule="atLeast"/>
          <w:jc w:val="center"/>
        </w:trPr>
        <w:tc>
          <w:tcPr>
            <w:tcW w:w="421" w:type="dxa"/>
            <w:shd w:val="clear" w:color="auto" w:fill="auto"/>
            <w:vAlign w:val="center"/>
          </w:tcPr>
          <w:p w14:paraId="17836E3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8</w:t>
            </w:r>
          </w:p>
        </w:tc>
        <w:tc>
          <w:tcPr>
            <w:tcW w:w="1275" w:type="dxa"/>
            <w:shd w:val="clear" w:color="auto" w:fill="auto"/>
            <w:vAlign w:val="center"/>
          </w:tcPr>
          <w:p w14:paraId="6C363D3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备品、备件保障</w:t>
            </w:r>
          </w:p>
        </w:tc>
        <w:tc>
          <w:tcPr>
            <w:tcW w:w="709" w:type="dxa"/>
            <w:shd w:val="clear" w:color="auto" w:fill="auto"/>
            <w:vAlign w:val="center"/>
          </w:tcPr>
          <w:p w14:paraId="61FCA3FA">
            <w:pPr>
              <w:suppressLineNumbers/>
              <w:suppressAutoHyphens/>
              <w:kinsoku w:val="0"/>
              <w:snapToGrid w:val="0"/>
              <w:spacing w:line="240" w:lineRule="exact"/>
              <w:ind w:left="201" w:leftChars="0" w:hanging="201" w:hangingChars="112"/>
              <w:jc w:val="center"/>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2</w:t>
            </w:r>
          </w:p>
        </w:tc>
        <w:tc>
          <w:tcPr>
            <w:tcW w:w="6461" w:type="dxa"/>
            <w:shd w:val="clear" w:color="auto" w:fill="auto"/>
            <w:vAlign w:val="center"/>
          </w:tcPr>
          <w:p w14:paraId="377E5F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lang w:val="en-US" w:eastAsia="zh-CN" w:bidi="ar-SA"/>
              </w:rPr>
            </w:pPr>
            <w:r>
              <w:rPr>
                <w:rFonts w:hint="eastAsia" w:ascii="仿宋" w:hAnsi="仿宋" w:eastAsia="仿宋" w:cs="仿宋"/>
                <w:snapToGrid w:val="0"/>
                <w:kern w:val="0"/>
                <w:sz w:val="18"/>
                <w:szCs w:val="18"/>
              </w:rPr>
              <w:t>根据投标方备品备件储备情况，备品备件可以给与的优惠折扣价格等情况打分：1-2分</w:t>
            </w:r>
          </w:p>
        </w:tc>
      </w:tr>
      <w:tr w14:paraId="6094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0" w:hRule="atLeast"/>
          <w:jc w:val="center"/>
        </w:trPr>
        <w:tc>
          <w:tcPr>
            <w:tcW w:w="421" w:type="dxa"/>
            <w:shd w:val="clear" w:color="auto" w:fill="auto"/>
            <w:vAlign w:val="center"/>
          </w:tcPr>
          <w:p w14:paraId="4C811211">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9</w:t>
            </w:r>
          </w:p>
        </w:tc>
        <w:tc>
          <w:tcPr>
            <w:tcW w:w="1275" w:type="dxa"/>
            <w:vAlign w:val="center"/>
          </w:tcPr>
          <w:p w14:paraId="215A7F2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8093B6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vAlign w:val="center"/>
          </w:tcPr>
          <w:p w14:paraId="252DB4C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投标方应在充分理解本项目需求的基础上，针对本项目编制售后服务方案，包括但不限于服务内容、响应时间、人员安排、技术指导、终身服务等。根据投标方情况打分：1-3分</w:t>
            </w:r>
          </w:p>
        </w:tc>
      </w:tr>
    </w:tbl>
    <w:p w14:paraId="4D57A9D4">
      <w:pPr>
        <w:spacing w:line="240" w:lineRule="exact"/>
        <w:rPr>
          <w:rFonts w:hint="eastAsia" w:ascii="仿宋" w:hAnsi="仿宋" w:eastAsia="仿宋"/>
          <w:sz w:val="28"/>
          <w:szCs w:val="28"/>
        </w:rPr>
      </w:pPr>
    </w:p>
    <w:p w14:paraId="2F7F5B23">
      <w:pPr>
        <w:spacing w:line="460" w:lineRule="exact"/>
        <w:rPr>
          <w:rFonts w:hint="eastAsia"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43D807B6">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51AC9B3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2、为保证项目的进度要求，招标人保留拆包授予合同的权力。</w:t>
      </w:r>
    </w:p>
    <w:p w14:paraId="65CBA5D5">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3、中标人在接到《中标通知书》后10个工作日内，按买方约定的时间、地点与买方签订合同。</w:t>
      </w:r>
    </w:p>
    <w:p w14:paraId="50A5CB3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03712FCF">
      <w:pPr>
        <w:spacing w:line="460" w:lineRule="exact"/>
        <w:rPr>
          <w:rFonts w:hint="eastAsia" w:ascii="仿宋" w:hAnsi="仿宋" w:eastAsia="仿宋"/>
          <w:b/>
          <w:bCs/>
          <w:sz w:val="28"/>
          <w:szCs w:val="28"/>
        </w:rPr>
      </w:pPr>
      <w:r>
        <w:rPr>
          <w:rFonts w:hint="eastAsia" w:ascii="仿宋" w:hAnsi="仿宋" w:eastAsia="仿宋"/>
          <w:b/>
          <w:bCs/>
          <w:sz w:val="28"/>
          <w:szCs w:val="28"/>
        </w:rPr>
        <w:t>五、招标投标费用：</w:t>
      </w:r>
    </w:p>
    <w:p w14:paraId="2843C83B">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一切与投标有关的费用均由投标人自理。</w:t>
      </w:r>
    </w:p>
    <w:p w14:paraId="4B654378">
      <w:pPr>
        <w:spacing w:line="460" w:lineRule="exact"/>
        <w:rPr>
          <w:rFonts w:hint="eastAsia" w:ascii="仿宋" w:hAnsi="仿宋" w:eastAsia="仿宋"/>
          <w:b/>
          <w:bCs/>
          <w:sz w:val="28"/>
          <w:szCs w:val="28"/>
        </w:rPr>
      </w:pPr>
      <w:r>
        <w:rPr>
          <w:rFonts w:hint="eastAsia" w:ascii="仿宋" w:hAnsi="仿宋" w:eastAsia="仿宋"/>
          <w:b/>
          <w:bCs/>
          <w:sz w:val="28"/>
          <w:szCs w:val="28"/>
        </w:rPr>
        <w:t>六、投标人资格审查文件</w:t>
      </w:r>
    </w:p>
    <w:p w14:paraId="06DA29BD">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投标人要提交下列文件以便招标单位审核：</w:t>
      </w:r>
    </w:p>
    <w:p w14:paraId="7A7FF4A6">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 企业法人营业执照（需提供原件供招标人审查）；</w:t>
      </w:r>
    </w:p>
    <w:p w14:paraId="19D97EF7">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 法人、授权委托人身份证复印件；</w:t>
      </w:r>
    </w:p>
    <w:p w14:paraId="47E88A8B">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3）有关鉴定材料、相关资质许可证；</w:t>
      </w:r>
    </w:p>
    <w:p w14:paraId="3F17D4E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4)体系认证及认证证明；</w:t>
      </w:r>
    </w:p>
    <w:p w14:paraId="104F9D07">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5947D9BA">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6) 其它文件和资料。</w:t>
      </w:r>
    </w:p>
    <w:p w14:paraId="347899A6">
      <w:pPr>
        <w:spacing w:line="460" w:lineRule="exact"/>
        <w:rPr>
          <w:rFonts w:hint="eastAsia" w:ascii="仿宋" w:hAnsi="仿宋" w:eastAsia="仿宋"/>
          <w:b/>
          <w:bCs/>
          <w:sz w:val="28"/>
          <w:szCs w:val="28"/>
        </w:rPr>
      </w:pPr>
      <w:r>
        <w:rPr>
          <w:rFonts w:hint="eastAsia" w:ascii="仿宋" w:hAnsi="仿宋" w:eastAsia="仿宋"/>
          <w:b/>
          <w:bCs/>
          <w:sz w:val="28"/>
          <w:szCs w:val="28"/>
        </w:rPr>
        <w:t>七、 投标保证金</w:t>
      </w:r>
    </w:p>
    <w:p w14:paraId="7540A42B">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投标保证金（人民币：</w:t>
      </w:r>
      <w:r>
        <w:rPr>
          <w:rFonts w:hint="eastAsia" w:ascii="仿宋" w:hAnsi="仿宋" w:eastAsia="仿宋"/>
          <w:sz w:val="28"/>
          <w:szCs w:val="28"/>
          <w:lang w:val="en-US" w:eastAsia="zh-CN"/>
        </w:rPr>
        <w:t>壹</w:t>
      </w:r>
      <w:r>
        <w:rPr>
          <w:rFonts w:hint="eastAsia" w:ascii="仿宋" w:hAnsi="仿宋" w:eastAsia="仿宋"/>
          <w:sz w:val="28"/>
          <w:szCs w:val="28"/>
        </w:rPr>
        <w:t xml:space="preserve">万元整     </w:t>
      </w:r>
      <w:r>
        <w:rPr>
          <w:rFonts w:hint="eastAsia" w:ascii="仿宋" w:hAnsi="仿宋" w:eastAsia="仿宋" w:cs="仿宋"/>
          <w:sz w:val="28"/>
          <w:szCs w:val="28"/>
        </w:rPr>
        <w:t>￥：</w:t>
      </w:r>
      <w:r>
        <w:rPr>
          <w:rFonts w:hint="eastAsia" w:ascii="仿宋" w:hAnsi="仿宋" w:eastAsia="仿宋" w:cs="仿宋"/>
          <w:sz w:val="28"/>
          <w:szCs w:val="28"/>
          <w:lang w:val="en-US" w:eastAsia="zh-CN"/>
        </w:rPr>
        <w:t>1</w:t>
      </w:r>
      <w:r>
        <w:rPr>
          <w:rFonts w:hint="eastAsia" w:ascii="仿宋" w:hAnsi="仿宋" w:eastAsia="仿宋" w:cs="仿宋"/>
          <w:sz w:val="28"/>
          <w:szCs w:val="28"/>
        </w:rPr>
        <w:t>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4BE70107">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投标保证金交纳时间：</w:t>
      </w:r>
      <w:r>
        <w:rPr>
          <w:rFonts w:hint="eastAsia" w:ascii="仿宋" w:hAnsi="仿宋" w:eastAsia="仿宋"/>
          <w:color w:val="000000" w:themeColor="text1"/>
          <w:sz w:val="28"/>
          <w:szCs w:val="28"/>
          <w:highlight w:val="none"/>
          <w:shd w:val="clear" w:color="auto" w:fill="auto"/>
          <w14:textFill>
            <w14:solidFill>
              <w14:schemeClr w14:val="tx1"/>
            </w14:solidFill>
          </w14:textFill>
        </w:rPr>
        <w:t>202</w:t>
      </w:r>
      <w:r>
        <w:rPr>
          <w:rFonts w:hint="eastAsia" w:ascii="仿宋" w:hAnsi="仿宋" w:eastAsia="仿宋"/>
          <w:color w:val="000000" w:themeColor="text1"/>
          <w:sz w:val="28"/>
          <w:szCs w:val="28"/>
          <w:highlight w:val="none"/>
          <w:shd w:val="clear" w:color="auto" w:fill="auto"/>
          <w:lang w:val="en-US" w:eastAsia="zh-CN"/>
          <w14:textFill>
            <w14:solidFill>
              <w14:schemeClr w14:val="tx1"/>
            </w14:solidFill>
          </w14:textFill>
        </w:rPr>
        <w:t>6</w:t>
      </w:r>
      <w:r>
        <w:rPr>
          <w:rFonts w:hint="eastAsia" w:ascii="仿宋" w:hAnsi="仿宋" w:eastAsia="仿宋"/>
          <w:color w:val="000000" w:themeColor="text1"/>
          <w:sz w:val="28"/>
          <w:szCs w:val="28"/>
          <w:highlight w:val="none"/>
          <w:shd w:val="clear" w:color="auto" w:fill="auto"/>
          <w14:textFill>
            <w14:solidFill>
              <w14:schemeClr w14:val="tx1"/>
            </w14:solidFill>
          </w14:textFill>
        </w:rPr>
        <w:t>年</w:t>
      </w:r>
      <w:r>
        <w:rPr>
          <w:rFonts w:hint="eastAsia" w:ascii="仿宋" w:hAnsi="仿宋" w:eastAsia="仿宋"/>
          <w:color w:val="000000" w:themeColor="text1"/>
          <w:sz w:val="28"/>
          <w:szCs w:val="28"/>
          <w:highlight w:val="none"/>
          <w:shd w:val="clear" w:color="auto" w:fill="auto"/>
          <w:lang w:val="en-US" w:eastAsia="zh-CN"/>
          <w14:textFill>
            <w14:solidFill>
              <w14:schemeClr w14:val="tx1"/>
            </w14:solidFill>
          </w14:textFill>
        </w:rPr>
        <w:t>5</w:t>
      </w:r>
      <w:r>
        <w:rPr>
          <w:rFonts w:hint="eastAsia" w:ascii="仿宋" w:hAnsi="仿宋" w:eastAsia="仿宋"/>
          <w:color w:val="000000" w:themeColor="text1"/>
          <w:sz w:val="28"/>
          <w:szCs w:val="28"/>
          <w:highlight w:val="none"/>
          <w:shd w:val="clear" w:color="auto" w:fill="auto"/>
          <w14:textFill>
            <w14:solidFill>
              <w14:schemeClr w14:val="tx1"/>
            </w14:solidFill>
          </w14:textFill>
        </w:rPr>
        <w:t>月</w:t>
      </w:r>
      <w:r>
        <w:rPr>
          <w:rFonts w:hint="eastAsia" w:ascii="仿宋" w:hAnsi="仿宋" w:eastAsia="仿宋"/>
          <w:color w:val="000000" w:themeColor="text1"/>
          <w:sz w:val="28"/>
          <w:szCs w:val="28"/>
          <w:highlight w:val="none"/>
          <w:shd w:val="clear" w:color="auto" w:fill="auto"/>
          <w:lang w:val="en-US" w:eastAsia="zh-CN"/>
          <w14:textFill>
            <w14:solidFill>
              <w14:schemeClr w14:val="tx1"/>
            </w14:solidFill>
          </w14:textFill>
        </w:rPr>
        <w:t>27</w:t>
      </w:r>
      <w:r>
        <w:rPr>
          <w:rFonts w:hint="eastAsia" w:ascii="仿宋" w:hAnsi="仿宋" w:eastAsia="仿宋"/>
          <w:color w:val="000000" w:themeColor="text1"/>
          <w:sz w:val="28"/>
          <w:szCs w:val="28"/>
          <w:highlight w:val="none"/>
          <w:shd w:val="clear" w:color="auto" w:fill="auto"/>
          <w14:textFill>
            <w14:solidFill>
              <w14:schemeClr w14:val="tx1"/>
            </w14:solidFill>
          </w14:textFill>
        </w:rPr>
        <w:t>日</w:t>
      </w:r>
      <w:r>
        <w:rPr>
          <w:rFonts w:hint="eastAsia" w:ascii="仿宋" w:hAnsi="仿宋" w:eastAsia="仿宋"/>
          <w:color w:val="000000" w:themeColor="text1"/>
          <w:sz w:val="28"/>
          <w:szCs w:val="28"/>
          <w:highlight w:val="none"/>
          <w:shd w:val="clear" w:color="auto" w:fill="auto"/>
          <w:lang w:val="en-US" w:eastAsia="zh-CN"/>
          <w14:textFill>
            <w14:solidFill>
              <w14:schemeClr w14:val="tx1"/>
            </w14:solidFill>
          </w14:textFill>
        </w:rPr>
        <w:t>下午5</w:t>
      </w:r>
      <w:r>
        <w:rPr>
          <w:rFonts w:hint="eastAsia" w:ascii="仿宋" w:hAnsi="仿宋" w:eastAsia="仿宋"/>
          <w:sz w:val="28"/>
          <w:szCs w:val="28"/>
        </w:rPr>
        <w:t>时（北京时间）前到账，投标截止时间之后递交的投标保证金将被拒绝。公对公电汇转账方式缴纳（不接受现金及个人转账）。 最终以河南万基新型建材有限公司财务所开收到凭证为准。</w:t>
      </w:r>
    </w:p>
    <w:p w14:paraId="781F49AC">
      <w:pPr>
        <w:spacing w:line="460" w:lineRule="exact"/>
        <w:ind w:firstLine="560" w:firstLineChars="200"/>
        <w:rPr>
          <w:rFonts w:hint="eastAsia" w:ascii="仿宋" w:hAnsi="仿宋" w:eastAsia="仿宋"/>
          <w:color w:val="auto"/>
          <w:sz w:val="28"/>
          <w:szCs w:val="28"/>
        </w:rPr>
      </w:pPr>
      <w:r>
        <w:rPr>
          <w:rFonts w:hint="eastAsia" w:ascii="仿宋" w:hAnsi="仿宋" w:eastAsia="仿宋"/>
          <w:sz w:val="28"/>
          <w:szCs w:val="28"/>
        </w:rPr>
        <w:t>招标人指</w:t>
      </w:r>
      <w:r>
        <w:rPr>
          <w:rFonts w:hint="eastAsia" w:ascii="仿宋" w:hAnsi="仿宋" w:eastAsia="仿宋"/>
          <w:color w:val="auto"/>
          <w:sz w:val="28"/>
          <w:szCs w:val="28"/>
        </w:rPr>
        <w:t>定的投标保证金的接收单位：</w:t>
      </w:r>
    </w:p>
    <w:p w14:paraId="635A4D69">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单位名称：</w:t>
      </w:r>
      <w:r>
        <w:rPr>
          <w:rFonts w:hint="eastAsia" w:ascii="仿宋" w:hAnsi="仿宋" w:eastAsia="仿宋"/>
          <w:b/>
          <w:color w:val="auto"/>
          <w:sz w:val="28"/>
          <w:szCs w:val="28"/>
        </w:rPr>
        <w:t>河南万基新型建材有限公司</w:t>
      </w:r>
    </w:p>
    <w:p w14:paraId="1A588DCA">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开 户 行：</w:t>
      </w:r>
      <w:r>
        <w:rPr>
          <w:rFonts w:hint="eastAsia" w:ascii="仿宋" w:hAnsi="仿宋" w:eastAsia="仿宋"/>
          <w:b/>
          <w:color w:val="auto"/>
          <w:sz w:val="28"/>
          <w:szCs w:val="28"/>
        </w:rPr>
        <w:t>农业银行新安县支行</w:t>
      </w:r>
    </w:p>
    <w:p w14:paraId="52442D4A">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账    号：</w:t>
      </w:r>
      <w:r>
        <w:rPr>
          <w:rFonts w:ascii="仿宋" w:hAnsi="仿宋" w:eastAsia="仿宋"/>
          <w:b/>
          <w:color w:val="auto"/>
          <w:sz w:val="28"/>
          <w:szCs w:val="28"/>
        </w:rPr>
        <w:t>16135101040017893</w:t>
      </w:r>
    </w:p>
    <w:p w14:paraId="1C8A3E7C">
      <w:pPr>
        <w:spacing w:line="46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联系电话：</w:t>
      </w:r>
      <w:r>
        <w:rPr>
          <w:rFonts w:ascii="仿宋" w:hAnsi="仿宋" w:eastAsia="仿宋"/>
          <w:b/>
          <w:color w:val="auto"/>
          <w:sz w:val="28"/>
          <w:szCs w:val="28"/>
        </w:rPr>
        <w:t xml:space="preserve">0379-6733 </w:t>
      </w:r>
      <w:r>
        <w:rPr>
          <w:rFonts w:hint="eastAsia" w:ascii="仿宋" w:hAnsi="仿宋" w:eastAsia="仿宋"/>
          <w:b/>
          <w:color w:val="auto"/>
          <w:sz w:val="28"/>
          <w:szCs w:val="28"/>
        </w:rPr>
        <w:t xml:space="preserve">2040 </w:t>
      </w:r>
    </w:p>
    <w:p w14:paraId="333640DF">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保证金退还：</w:t>
      </w:r>
    </w:p>
    <w:p w14:paraId="43638B1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5CDB062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598722F6">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发生以下情况之一者，投标保证金将不予退还：</w:t>
      </w:r>
    </w:p>
    <w:p w14:paraId="305524B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4D6D4E4D">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7561BC0E">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41786E5B">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IV. 投标人违反纪律与保密的有关规定；</w:t>
      </w:r>
    </w:p>
    <w:p w14:paraId="442E69E8">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p>
    <w:p w14:paraId="0814DF31">
      <w:pPr>
        <w:spacing w:line="700" w:lineRule="exact"/>
        <w:rPr>
          <w:rFonts w:hint="eastAsia" w:ascii="仿宋" w:hAnsi="仿宋" w:eastAsia="仿宋"/>
          <w:sz w:val="28"/>
          <w:szCs w:val="24"/>
        </w:rPr>
      </w:pPr>
    </w:p>
    <w:p w14:paraId="4D8528AA">
      <w:pPr>
        <w:spacing w:line="700" w:lineRule="exact"/>
        <w:rPr>
          <w:rFonts w:hint="eastAsia" w:ascii="仿宋" w:hAnsi="仿宋" w:eastAsia="仿宋"/>
          <w:sz w:val="28"/>
          <w:szCs w:val="24"/>
        </w:rPr>
      </w:pPr>
    </w:p>
    <w:p w14:paraId="43A1C2BF">
      <w:pPr>
        <w:spacing w:line="700" w:lineRule="exact"/>
        <w:rPr>
          <w:rFonts w:hint="eastAsia"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3BC2C812">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810DA93">
      <w:pPr>
        <w:spacing w:line="480" w:lineRule="exact"/>
        <w:ind w:firstLine="640" w:firstLineChars="200"/>
        <w:rPr>
          <w:rFonts w:ascii="仿宋" w:hAnsi="仿宋" w:eastAsia="仿宋"/>
          <w:sz w:val="32"/>
          <w:szCs w:val="32"/>
        </w:rPr>
      </w:pPr>
    </w:p>
    <w:p w14:paraId="54EE466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6EE03C3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DAD81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BAEEF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3F29ED10">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54AD78C6">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02915D5">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0601838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0EB1241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F7CF51C">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28E9C72E">
      <w:pPr>
        <w:spacing w:line="420" w:lineRule="exact"/>
        <w:rPr>
          <w:rFonts w:ascii="仿宋" w:hAnsi="仿宋" w:eastAsia="仿宋"/>
          <w:sz w:val="32"/>
          <w:szCs w:val="32"/>
        </w:rPr>
      </w:pPr>
    </w:p>
    <w:p w14:paraId="272A06F8">
      <w:pPr>
        <w:spacing w:line="420" w:lineRule="exact"/>
        <w:ind w:firstLine="2240" w:firstLineChars="7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53335D9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0129F57F">
      <w:pPr>
        <w:spacing w:line="420" w:lineRule="exact"/>
        <w:ind w:firstLine="4800" w:firstLineChars="1500"/>
        <w:rPr>
          <w:rFonts w:hint="eastAsia" w:ascii="仿宋" w:hAnsi="仿宋" w:eastAsia="仿宋"/>
          <w:sz w:val="32"/>
          <w:szCs w:val="32"/>
        </w:rPr>
      </w:pPr>
      <w:r>
        <w:rPr>
          <w:rFonts w:hint="eastAsia" w:ascii="仿宋" w:hAnsi="仿宋" w:eastAsia="仿宋"/>
          <w:sz w:val="32"/>
          <w:szCs w:val="32"/>
        </w:rPr>
        <w:t>2026年    月    日</w:t>
      </w:r>
    </w:p>
    <w:p w14:paraId="57040B67">
      <w:pPr>
        <w:spacing w:line="500" w:lineRule="exact"/>
        <w:rPr>
          <w:rFonts w:hint="eastAsia" w:ascii="仿宋" w:hAnsi="仿宋" w:eastAsia="仿宋"/>
          <w:sz w:val="28"/>
          <w:szCs w:val="28"/>
        </w:rPr>
      </w:pPr>
    </w:p>
    <w:p w14:paraId="33AB8231">
      <w:pPr>
        <w:spacing w:line="500" w:lineRule="exact"/>
        <w:rPr>
          <w:rFonts w:hint="eastAsia" w:ascii="仿宋" w:hAnsi="仿宋" w:eastAsia="仿宋"/>
          <w:sz w:val="28"/>
          <w:szCs w:val="28"/>
        </w:rPr>
      </w:pPr>
    </w:p>
    <w:p w14:paraId="55AE5503">
      <w:pPr>
        <w:spacing w:line="500" w:lineRule="exact"/>
        <w:rPr>
          <w:rFonts w:hint="eastAsia" w:ascii="仿宋" w:hAnsi="仿宋" w:eastAsia="仿宋"/>
          <w:sz w:val="28"/>
          <w:szCs w:val="28"/>
        </w:rPr>
      </w:pPr>
    </w:p>
    <w:p w14:paraId="1C002B4F">
      <w:pPr>
        <w:spacing w:line="500" w:lineRule="exact"/>
        <w:rPr>
          <w:rFonts w:hint="eastAsia" w:ascii="仿宋" w:hAnsi="仿宋" w:eastAsia="仿宋"/>
          <w:sz w:val="28"/>
          <w:szCs w:val="28"/>
        </w:rPr>
      </w:pPr>
    </w:p>
    <w:p w14:paraId="4D8A39A9">
      <w:pPr>
        <w:spacing w:line="500" w:lineRule="exact"/>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4AD2D891">
      <w:pPr>
        <w:spacing w:line="500" w:lineRule="exact"/>
        <w:rPr>
          <w:rFonts w:hint="eastAsia" w:ascii="仿宋" w:hAnsi="仿宋" w:eastAsia="仿宋"/>
          <w:sz w:val="40"/>
          <w:szCs w:val="44"/>
        </w:rPr>
      </w:pPr>
    </w:p>
    <w:p w14:paraId="15CB1A28">
      <w:pPr>
        <w:spacing w:line="500" w:lineRule="exact"/>
        <w:ind w:firstLine="3200" w:firstLineChars="800"/>
        <w:rPr>
          <w:rFonts w:hint="eastAsia" w:ascii="仿宋" w:hAnsi="仿宋" w:eastAsia="仿宋"/>
          <w:sz w:val="40"/>
          <w:szCs w:val="44"/>
        </w:rPr>
      </w:pPr>
      <w:r>
        <w:rPr>
          <w:rFonts w:hint="eastAsia" w:ascii="仿宋" w:hAnsi="仿宋" w:eastAsia="仿宋"/>
          <w:sz w:val="40"/>
          <w:szCs w:val="44"/>
        </w:rPr>
        <w:t>投标人承诺函</w:t>
      </w:r>
    </w:p>
    <w:p w14:paraId="2BB71E1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项目名称：             </w:t>
      </w:r>
    </w:p>
    <w:p w14:paraId="2B0A1C9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日    期：             </w:t>
      </w:r>
    </w:p>
    <w:p w14:paraId="3DF89F15">
      <w:pPr>
        <w:spacing w:line="500" w:lineRule="exact"/>
        <w:rPr>
          <w:rFonts w:hint="eastAsia" w:ascii="仿宋" w:hAnsi="仿宋" w:eastAsia="仿宋"/>
          <w:sz w:val="28"/>
          <w:szCs w:val="28"/>
        </w:rPr>
      </w:pPr>
      <w:r>
        <w:rPr>
          <w:rFonts w:hint="eastAsia" w:ascii="仿宋" w:hAnsi="仿宋" w:eastAsia="仿宋"/>
          <w:sz w:val="28"/>
          <w:szCs w:val="28"/>
        </w:rPr>
        <w:t>致：(招标机构名称)</w:t>
      </w:r>
    </w:p>
    <w:p w14:paraId="05FBBFA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(招标人名称)  </w:t>
      </w:r>
    </w:p>
    <w:p w14:paraId="25F30C2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很荣幸能参与上述项目的投标。</w:t>
      </w:r>
    </w:p>
    <w:p w14:paraId="78271D3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我代表(投标人名称)，在此作如下承诺：</w:t>
      </w:r>
    </w:p>
    <w:p w14:paraId="0F99E03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1、完全理解和接受招标文件的一切规定和要求。</w:t>
      </w:r>
    </w:p>
    <w:p w14:paraId="1D3C62C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2、投标报价在投标有效期和合同有效期内，该报价固定不变。</w:t>
      </w:r>
    </w:p>
    <w:p w14:paraId="30A6EF6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0F3AD3E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EDF1E9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30A4E451">
      <w:pPr>
        <w:spacing w:line="500" w:lineRule="exact"/>
        <w:rPr>
          <w:rFonts w:hint="eastAsia" w:ascii="仿宋" w:hAnsi="仿宋" w:eastAsia="仿宋"/>
          <w:sz w:val="28"/>
          <w:szCs w:val="28"/>
        </w:rPr>
      </w:pPr>
    </w:p>
    <w:p w14:paraId="40D7B504">
      <w:pPr>
        <w:spacing w:line="500" w:lineRule="exact"/>
        <w:ind w:firstLine="5600" w:firstLineChars="2000"/>
        <w:rPr>
          <w:rFonts w:hint="eastAsia" w:ascii="仿宋" w:hAnsi="仿宋" w:eastAsia="仿宋"/>
          <w:sz w:val="28"/>
          <w:szCs w:val="28"/>
        </w:rPr>
      </w:pPr>
      <w:r>
        <w:rPr>
          <w:rFonts w:hint="eastAsia" w:ascii="仿宋" w:hAnsi="仿宋" w:eastAsia="仿宋"/>
          <w:sz w:val="28"/>
          <w:szCs w:val="28"/>
        </w:rPr>
        <w:t xml:space="preserve">投标人代表签字：               </w:t>
      </w:r>
    </w:p>
    <w:p w14:paraId="2E48402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投标人公章： </w:t>
      </w:r>
    </w:p>
    <w:p w14:paraId="24D11E7D">
      <w:pPr>
        <w:spacing w:line="500" w:lineRule="exact"/>
        <w:ind w:firstLine="560" w:firstLineChars="200"/>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058B557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w:t>
      </w:r>
    </w:p>
    <w:p w14:paraId="4D5B591A">
      <w:pPr>
        <w:spacing w:line="500" w:lineRule="exact"/>
        <w:ind w:firstLine="560" w:firstLineChars="200"/>
        <w:rPr>
          <w:rFonts w:hint="eastAsia" w:ascii="仿宋" w:hAnsi="仿宋" w:eastAsia="仿宋"/>
          <w:sz w:val="28"/>
          <w:szCs w:val="28"/>
        </w:rPr>
      </w:pPr>
    </w:p>
    <w:p w14:paraId="4476193B">
      <w:pPr>
        <w:spacing w:line="500" w:lineRule="exact"/>
        <w:ind w:firstLine="560" w:firstLineChars="200"/>
        <w:rPr>
          <w:rFonts w:hint="eastAsia" w:ascii="仿宋" w:hAnsi="仿宋" w:eastAsia="仿宋"/>
          <w:sz w:val="28"/>
          <w:szCs w:val="28"/>
        </w:rPr>
      </w:pPr>
    </w:p>
    <w:p w14:paraId="01B2BDA9">
      <w:pPr>
        <w:spacing w:line="360" w:lineRule="auto"/>
      </w:pPr>
    </w:p>
    <w:p w14:paraId="4122ABF9">
      <w:pPr>
        <w:pStyle w:val="4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6A2C5669">
      <w:pPr>
        <w:pStyle w:val="47"/>
        <w:spacing w:line="240" w:lineRule="auto"/>
        <w:jc w:val="both"/>
        <w:rPr>
          <w:rFonts w:hint="eastAsia" w:ascii="仿宋" w:hAnsi="仿宋" w:eastAsia="仿宋"/>
          <w:color w:val="000000" w:themeColor="text1"/>
          <w:szCs w:val="28"/>
          <w14:textFill>
            <w14:solidFill>
              <w14:schemeClr w14:val="tx1"/>
            </w14:solidFill>
          </w14:textFill>
        </w:rPr>
      </w:pPr>
      <w:bookmarkStart w:id="0" w:name="_Toc168067557"/>
      <w:bookmarkStart w:id="1" w:name="_Toc171089833"/>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bookmarkEnd w:id="0"/>
      <w:bookmarkEnd w:id="1"/>
    </w:p>
    <w:p w14:paraId="41FBDAA7">
      <w:pPr>
        <w:pStyle w:val="47"/>
        <w:spacing w:line="240" w:lineRule="exact"/>
        <w:rPr>
          <w:rFonts w:hint="eastAsia" w:ascii="仿宋" w:hAnsi="仿宋" w:eastAsia="仿宋" w:cs="仿宋_GB2312"/>
          <w:snapToGrid/>
          <w:color w:val="000000" w:themeColor="text1"/>
          <w:szCs w:val="28"/>
          <w14:textFill>
            <w14:solidFill>
              <w14:schemeClr w14:val="tx1"/>
            </w14:solidFill>
          </w14:textFill>
        </w:rPr>
      </w:pPr>
    </w:p>
    <w:p w14:paraId="760010B5">
      <w:pPr>
        <w:pStyle w:val="47"/>
        <w:rPr>
          <w:rFonts w:hint="eastAsia" w:asciiTheme="majorEastAsia" w:hAnsiTheme="majorEastAsia" w:eastAsiaTheme="majorEastAsia"/>
          <w:b/>
          <w:bCs/>
          <w:snapToGrid/>
          <w:color w:val="000000" w:themeColor="text1"/>
          <w:sz w:val="44"/>
          <w:szCs w:val="44"/>
          <w14:textFill>
            <w14:solidFill>
              <w14:schemeClr w14:val="tx1"/>
            </w14:solidFill>
          </w14:textFill>
        </w:rPr>
      </w:pPr>
      <w:bookmarkStart w:id="2" w:name="_Toc168067558"/>
      <w:bookmarkStart w:id="3" w:name="_Toc171089834"/>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bookmarkEnd w:id="2"/>
      <w:bookmarkEnd w:id="3"/>
    </w:p>
    <w:p w14:paraId="7B8DDA00">
      <w:pPr>
        <w:rPr>
          <w:color w:val="000000" w:themeColor="text1"/>
          <w14:textFill>
            <w14:solidFill>
              <w14:schemeClr w14:val="tx1"/>
            </w14:solidFill>
          </w14:textFill>
        </w:rPr>
      </w:pPr>
    </w:p>
    <w:p w14:paraId="0BF121B9">
      <w:pPr>
        <w:ind w:firstLine="5320" w:firstLineChars="1900"/>
        <w:rPr>
          <w:rFonts w:hint="eastAsia"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3CA76317">
      <w:pP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7C913BA0">
      <w:pPr>
        <w:spacing w:line="360" w:lineRule="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万基控股集团有限公司招标办公室：</w:t>
      </w:r>
    </w:p>
    <w:p w14:paraId="6AA953E5">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7D04723F">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2E9FD6F8">
      <w:pPr>
        <w:spacing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4506BA24">
      <w:pPr>
        <w:spacing w:line="360" w:lineRule="auto"/>
        <w:rPr>
          <w:rFonts w:hint="eastAsia" w:ascii="仿宋" w:hAnsi="仿宋" w:eastAsia="仿宋"/>
          <w:color w:val="000000" w:themeColor="text1"/>
          <w:sz w:val="32"/>
          <w:szCs w:val="32"/>
          <w14:textFill>
            <w14:solidFill>
              <w14:schemeClr w14:val="tx1"/>
            </w14:solidFill>
          </w14:textFill>
        </w:rPr>
      </w:pPr>
    </w:p>
    <w:p w14:paraId="2E1FCCF3">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15063FE6">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BCE282F">
      <w:pPr>
        <w:spacing w:line="640" w:lineRule="exact"/>
        <w:ind w:left="72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1EE84D72">
      <w:pPr>
        <w:spacing w:line="700" w:lineRule="exact"/>
        <w:rPr>
          <w:rFonts w:hint="eastAsia" w:ascii="仿宋" w:hAnsi="仿宋" w:eastAsia="仿宋"/>
          <w:sz w:val="28"/>
          <w:szCs w:val="24"/>
        </w:rPr>
      </w:pPr>
    </w:p>
    <w:p w14:paraId="50EFD4FF">
      <w:pPr>
        <w:spacing w:line="700" w:lineRule="exact"/>
        <w:rPr>
          <w:rFonts w:hint="eastAsia" w:ascii="仿宋" w:hAnsi="仿宋" w:eastAsia="仿宋"/>
          <w:sz w:val="28"/>
          <w:szCs w:val="24"/>
        </w:rPr>
      </w:pPr>
    </w:p>
    <w:p w14:paraId="1BCB1886">
      <w:pPr>
        <w:spacing w:line="700" w:lineRule="exact"/>
        <w:rPr>
          <w:rFonts w:hint="eastAsia" w:ascii="仿宋" w:hAnsi="仿宋" w:eastAsia="仿宋"/>
          <w:sz w:val="28"/>
          <w:szCs w:val="24"/>
        </w:rPr>
      </w:pPr>
    </w:p>
    <w:p w14:paraId="59789702">
      <w:pPr>
        <w:tabs>
          <w:tab w:val="left" w:pos="630"/>
          <w:tab w:val="left" w:pos="7560"/>
        </w:tabs>
        <w:spacing w:line="360" w:lineRule="auto"/>
        <w:rPr>
          <w:rFonts w:hint="eastAsia" w:ascii="仿宋" w:hAnsi="仿宋" w:eastAsia="仿宋"/>
          <w:sz w:val="28"/>
          <w:szCs w:val="28"/>
        </w:rPr>
      </w:pPr>
    </w:p>
    <w:p w14:paraId="024608C3">
      <w:pPr>
        <w:tabs>
          <w:tab w:val="left" w:pos="630"/>
          <w:tab w:val="left" w:pos="7560"/>
        </w:tabs>
        <w:spacing w:line="360" w:lineRule="auto"/>
        <w:rPr>
          <w:rFonts w:hint="eastAsia" w:ascii="仿宋" w:hAnsi="仿宋" w:eastAsia="仿宋"/>
          <w:sz w:val="28"/>
          <w:szCs w:val="28"/>
        </w:rPr>
      </w:pPr>
    </w:p>
    <w:p w14:paraId="53CADCEE">
      <w:pPr>
        <w:tabs>
          <w:tab w:val="left" w:pos="630"/>
          <w:tab w:val="left" w:pos="7560"/>
        </w:tabs>
        <w:spacing w:line="360" w:lineRule="auto"/>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288A8A3B">
      <w:pPr>
        <w:tabs>
          <w:tab w:val="left" w:pos="630"/>
        </w:tabs>
        <w:spacing w:line="360" w:lineRule="auto"/>
        <w:jc w:val="center"/>
        <w:rPr>
          <w:rFonts w:hint="eastAsia" w:ascii="仿宋" w:hAnsi="仿宋" w:eastAsia="仿宋"/>
          <w:b/>
          <w:sz w:val="44"/>
          <w:szCs w:val="44"/>
        </w:rPr>
      </w:pPr>
    </w:p>
    <w:p w14:paraId="65E5B5E6">
      <w:pPr>
        <w:tabs>
          <w:tab w:val="left" w:pos="630"/>
        </w:tabs>
        <w:spacing w:line="360" w:lineRule="auto"/>
        <w:jc w:val="center"/>
        <w:rPr>
          <w:rFonts w:hint="eastAsia" w:ascii="仿宋" w:hAnsi="仿宋" w:eastAsia="仿宋"/>
          <w:b/>
          <w:sz w:val="44"/>
          <w:szCs w:val="44"/>
        </w:rPr>
      </w:pPr>
      <w:r>
        <w:rPr>
          <w:rFonts w:ascii="仿宋" w:hAnsi="仿宋" w:eastAsia="仿宋"/>
          <w:b/>
          <w:sz w:val="44"/>
          <w:szCs w:val="44"/>
        </w:rPr>
        <w:t>投标人关于资格的声明函</w:t>
      </w:r>
    </w:p>
    <w:p w14:paraId="388028CC">
      <w:pPr>
        <w:tabs>
          <w:tab w:val="left" w:pos="630"/>
        </w:tabs>
        <w:spacing w:line="240" w:lineRule="exact"/>
        <w:rPr>
          <w:rFonts w:hint="eastAsia" w:ascii="仿宋" w:hAnsi="仿宋" w:eastAsia="仿宋"/>
          <w:sz w:val="28"/>
        </w:rPr>
      </w:pPr>
    </w:p>
    <w:p w14:paraId="27A9F7B2">
      <w:pPr>
        <w:tabs>
          <w:tab w:val="left" w:pos="630"/>
        </w:tabs>
        <w:spacing w:line="360" w:lineRule="auto"/>
        <w:rPr>
          <w:rFonts w:hint="eastAsia" w:ascii="仿宋" w:hAnsi="仿宋" w:eastAsia="仿宋"/>
          <w:sz w:val="32"/>
          <w:szCs w:val="32"/>
          <w:u w:val="single"/>
        </w:rPr>
      </w:pPr>
      <w:r>
        <w:rPr>
          <w:rFonts w:ascii="仿宋" w:hAnsi="仿宋" w:eastAsia="仿宋"/>
          <w:sz w:val="32"/>
          <w:szCs w:val="32"/>
        </w:rPr>
        <w:t>项目名称：</w:t>
      </w:r>
      <w:r>
        <w:rPr>
          <w:rFonts w:hint="eastAsia" w:ascii="仿宋" w:hAnsi="仿宋" w:eastAsia="仿宋"/>
          <w:sz w:val="32"/>
          <w:szCs w:val="32"/>
          <w:u w:val="single"/>
        </w:rPr>
        <w:t xml:space="preserve"> </w:t>
      </w:r>
      <w:r>
        <w:rPr>
          <w:rFonts w:ascii="仿宋" w:hAnsi="仿宋" w:eastAsia="仿宋"/>
          <w:sz w:val="32"/>
          <w:szCs w:val="32"/>
          <w:u w:val="single"/>
        </w:rPr>
        <w:t>*********************</w:t>
      </w:r>
      <w:r>
        <w:rPr>
          <w:rFonts w:hint="eastAsia" w:ascii="仿宋" w:hAnsi="仿宋" w:eastAsia="仿宋"/>
          <w:sz w:val="32"/>
          <w:szCs w:val="32"/>
          <w:u w:val="single"/>
        </w:rPr>
        <w:t>项目</w:t>
      </w:r>
    </w:p>
    <w:p w14:paraId="3E903C7C">
      <w:pPr>
        <w:tabs>
          <w:tab w:val="left" w:pos="630"/>
        </w:tabs>
        <w:spacing w:line="360" w:lineRule="auto"/>
        <w:rPr>
          <w:rFonts w:hint="eastAsia" w:ascii="仿宋" w:hAnsi="仿宋" w:eastAsia="仿宋"/>
          <w:sz w:val="32"/>
          <w:szCs w:val="32"/>
          <w:u w:val="single"/>
        </w:rPr>
      </w:pPr>
      <w:r>
        <w:rPr>
          <w:rFonts w:ascii="仿宋" w:hAnsi="仿宋" w:eastAsia="仿宋"/>
          <w:sz w:val="32"/>
          <w:szCs w:val="32"/>
        </w:rPr>
        <w:t xml:space="preserve">日    期： </w:t>
      </w:r>
      <w:r>
        <w:rPr>
          <w:rFonts w:ascii="仿宋" w:hAnsi="仿宋" w:eastAsia="仿宋"/>
          <w:sz w:val="32"/>
          <w:szCs w:val="32"/>
          <w:u w:val="single"/>
        </w:rPr>
        <w:t xml:space="preserve">            </w:t>
      </w:r>
    </w:p>
    <w:p w14:paraId="3E6D2C33">
      <w:pPr>
        <w:tabs>
          <w:tab w:val="left" w:pos="630"/>
        </w:tabs>
        <w:spacing w:line="360" w:lineRule="auto"/>
        <w:rPr>
          <w:rFonts w:hint="eastAsia" w:ascii="仿宋" w:hAnsi="仿宋" w:eastAsia="仿宋"/>
          <w:sz w:val="32"/>
          <w:szCs w:val="32"/>
        </w:rPr>
      </w:pPr>
    </w:p>
    <w:p w14:paraId="7D45817B">
      <w:pPr>
        <w:tabs>
          <w:tab w:val="left" w:pos="630"/>
        </w:tabs>
        <w:spacing w:line="360" w:lineRule="auto"/>
        <w:rPr>
          <w:rFonts w:hint="eastAsia"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万基控股集团有限公司招标办公室</w:t>
      </w:r>
      <w:r>
        <w:rPr>
          <w:rFonts w:ascii="仿宋" w:hAnsi="仿宋" w:eastAsia="仿宋"/>
          <w:sz w:val="32"/>
          <w:szCs w:val="32"/>
        </w:rPr>
        <w:t>：</w:t>
      </w:r>
    </w:p>
    <w:p w14:paraId="6E854D88">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0AFC525F">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0CF0B2A6">
      <w:pPr>
        <w:tabs>
          <w:tab w:val="left" w:pos="630"/>
          <w:tab w:val="left" w:pos="7455"/>
        </w:tabs>
        <w:spacing w:line="360" w:lineRule="auto"/>
        <w:rPr>
          <w:rFonts w:hint="eastAsia"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9023D42">
      <w:pPr>
        <w:rPr>
          <w:rFonts w:hint="eastAsia" w:ascii="仿宋" w:hAnsi="仿宋" w:eastAsia="仿宋"/>
          <w:sz w:val="32"/>
          <w:szCs w:val="32"/>
        </w:rPr>
      </w:pPr>
      <w:r>
        <w:rPr>
          <w:rFonts w:ascii="仿宋" w:hAnsi="仿宋" w:eastAsia="仿宋"/>
          <w:sz w:val="32"/>
          <w:szCs w:val="32"/>
        </w:rPr>
        <w:t xml:space="preserve">                                       投标人公章：</w:t>
      </w:r>
    </w:p>
    <w:p w14:paraId="35F4D43C">
      <w:pPr>
        <w:spacing w:line="360" w:lineRule="auto"/>
      </w:pPr>
    </w:p>
    <w:p w14:paraId="0C7ED1AD">
      <w:pPr>
        <w:spacing w:line="360" w:lineRule="auto"/>
      </w:pPr>
    </w:p>
    <w:p w14:paraId="783E7F15">
      <w:pPr>
        <w:spacing w:line="360" w:lineRule="auto"/>
      </w:pPr>
    </w:p>
    <w:p w14:paraId="109E5366">
      <w:pPr>
        <w:spacing w:line="360" w:lineRule="auto"/>
      </w:pPr>
    </w:p>
    <w:p w14:paraId="24F232D1">
      <w:pPr>
        <w:spacing w:line="360" w:lineRule="auto"/>
      </w:pPr>
    </w:p>
    <w:p w14:paraId="7A944FB1">
      <w:pPr>
        <w:spacing w:line="360" w:lineRule="auto"/>
      </w:pPr>
    </w:p>
    <w:p w14:paraId="26C23C5A">
      <w:pPr>
        <w:spacing w:line="360" w:lineRule="auto"/>
      </w:pPr>
    </w:p>
    <w:p w14:paraId="37E2CD81">
      <w:pPr>
        <w:spacing w:line="360" w:lineRule="auto"/>
      </w:pPr>
    </w:p>
    <w:p w14:paraId="6DC46825">
      <w:pPr>
        <w:spacing w:line="360" w:lineRule="auto"/>
      </w:pPr>
    </w:p>
    <w:p w14:paraId="2FD3A635">
      <w:pPr>
        <w:spacing w:line="360" w:lineRule="auto"/>
      </w:pPr>
    </w:p>
    <w:p w14:paraId="374F9D97">
      <w:pPr>
        <w:spacing w:line="360" w:lineRule="auto"/>
      </w:pPr>
    </w:p>
    <w:p w14:paraId="1647B48B">
      <w:pPr>
        <w:spacing w:line="360" w:lineRule="auto"/>
      </w:pPr>
    </w:p>
    <w:p w14:paraId="33112324">
      <w:pPr>
        <w:spacing w:line="360" w:lineRule="auto"/>
      </w:pPr>
    </w:p>
    <w:p w14:paraId="39B16940">
      <w:pPr>
        <w:spacing w:line="360" w:lineRule="auto"/>
        <w:rPr>
          <w:rFonts w:hint="eastAsia" w:eastAsia="仿宋"/>
          <w:lang w:val="en-US" w:eastAsia="zh-CN"/>
        </w:rPr>
      </w:pPr>
      <w:r>
        <w:rPr>
          <w:rFonts w:hint="eastAsia" w:ascii="仿宋" w:hAnsi="仿宋" w:eastAsia="仿宋"/>
          <w:sz w:val="28"/>
          <w:szCs w:val="24"/>
        </w:rPr>
        <w:t xml:space="preserve">附件5 </w:t>
      </w:r>
      <w:r>
        <w:rPr>
          <w:rFonts w:hint="eastAsia" w:ascii="仿宋" w:hAnsi="仿宋" w:eastAsia="仿宋"/>
          <w:sz w:val="28"/>
          <w:szCs w:val="24"/>
          <w:lang w:val="en-US" w:eastAsia="zh-CN"/>
        </w:rPr>
        <w:t>报价单</w:t>
      </w: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2F6E612C">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r>
        <w:rPr>
          <w:rFonts w:hint="eastAsia" w:ascii="仿宋" w:hAnsi="仿宋" w:eastAsia="仿宋" w:cs="Times New Roman"/>
          <w:b/>
          <w:bCs/>
          <w:color w:val="auto"/>
          <w:sz w:val="44"/>
          <w:szCs w:val="44"/>
          <w:lang w:val="en-US" w:eastAsia="zh-CN"/>
        </w:rPr>
        <w:t>新建材</w:t>
      </w:r>
      <w:r>
        <w:rPr>
          <w:rFonts w:hint="default" w:ascii="仿宋" w:hAnsi="仿宋" w:eastAsia="仿宋" w:cs="Times New Roman"/>
          <w:b/>
          <w:bCs/>
          <w:color w:val="auto"/>
          <w:sz w:val="44"/>
          <w:szCs w:val="44"/>
          <w:lang w:val="en-US" w:eastAsia="zh-CN"/>
        </w:rPr>
        <w:t>2x100万方粉煤灰蒸压加气混凝土砌块（含板材）生产线</w:t>
      </w:r>
      <w:r>
        <w:rPr>
          <w:rFonts w:hint="eastAsia" w:ascii="仿宋" w:hAnsi="仿宋" w:eastAsia="仿宋" w:cs="Times New Roman"/>
          <w:b/>
          <w:bCs/>
          <w:color w:val="auto"/>
          <w:sz w:val="44"/>
          <w:szCs w:val="44"/>
          <w:lang w:val="en-US" w:eastAsia="zh-CN"/>
        </w:rPr>
        <w:t>废砖处理设备投标报价单</w:t>
      </w:r>
    </w:p>
    <w:p w14:paraId="794BA0C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7744FC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2"/>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807"/>
        <w:gridCol w:w="1829"/>
        <w:gridCol w:w="850"/>
        <w:gridCol w:w="834"/>
        <w:gridCol w:w="1642"/>
        <w:gridCol w:w="853"/>
      </w:tblGrid>
      <w:tr w14:paraId="5CCA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267B04F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2807" w:type="dxa"/>
            <w:tcBorders>
              <w:bottom w:val="single" w:color="auto" w:sz="4" w:space="0"/>
            </w:tcBorders>
            <w:noWrap w:val="0"/>
            <w:vAlign w:val="center"/>
          </w:tcPr>
          <w:p w14:paraId="54B515B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829" w:type="dxa"/>
            <w:tcBorders>
              <w:bottom w:val="single" w:color="auto" w:sz="4" w:space="0"/>
            </w:tcBorders>
            <w:noWrap w:val="0"/>
            <w:vAlign w:val="center"/>
          </w:tcPr>
          <w:p w14:paraId="7B53CFF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850" w:type="dxa"/>
            <w:tcBorders>
              <w:bottom w:val="single" w:color="auto" w:sz="4" w:space="0"/>
            </w:tcBorders>
            <w:noWrap w:val="0"/>
            <w:vAlign w:val="center"/>
          </w:tcPr>
          <w:p w14:paraId="13E1A62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834" w:type="dxa"/>
            <w:tcBorders>
              <w:bottom w:val="single" w:color="auto" w:sz="4" w:space="0"/>
            </w:tcBorders>
            <w:noWrap w:val="0"/>
            <w:vAlign w:val="center"/>
          </w:tcPr>
          <w:p w14:paraId="54B8DDA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642" w:type="dxa"/>
            <w:noWrap w:val="0"/>
            <w:vAlign w:val="center"/>
          </w:tcPr>
          <w:p w14:paraId="3B19433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23127A5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5102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3E42AFD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2807" w:type="dxa"/>
            <w:shd w:val="clear" w:color="auto" w:fill="auto"/>
            <w:noWrap w:val="0"/>
            <w:vAlign w:val="center"/>
          </w:tcPr>
          <w:p w14:paraId="1D57E8D9">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default" w:ascii="宋体" w:hAnsi="宋体" w:eastAsia="宋体" w:cs="宋体"/>
                <w:snapToGrid/>
                <w:color w:val="auto"/>
                <w:spacing w:val="0"/>
                <w:kern w:val="0"/>
                <w:sz w:val="21"/>
                <w:szCs w:val="21"/>
                <w:highlight w:val="none"/>
                <w:vertAlign w:val="baseline"/>
                <w:lang w:val="en-US" w:eastAsia="zh-CN" w:bidi="ar-SA"/>
              </w:rPr>
            </w:pPr>
            <w:r>
              <w:rPr>
                <w:rFonts w:hint="eastAsia"/>
                <w:sz w:val="21"/>
                <w:szCs w:val="21"/>
                <w:highlight w:val="none"/>
                <w:lang w:eastAsia="zh-CN"/>
              </w:rPr>
              <w:t>撕碎机（</w:t>
            </w:r>
            <w:r>
              <w:rPr>
                <w:rFonts w:hint="eastAsia"/>
                <w:sz w:val="21"/>
                <w:szCs w:val="21"/>
                <w:highlight w:val="none"/>
                <w:lang w:val="en-US" w:eastAsia="zh-CN"/>
              </w:rPr>
              <w:t>含</w:t>
            </w:r>
            <w:r>
              <w:rPr>
                <w:rFonts w:hint="eastAsia" w:ascii="宋体" w:hAnsi="宋体" w:cs="宋体"/>
                <w:snapToGrid/>
                <w:color w:val="auto"/>
                <w:spacing w:val="0"/>
                <w:kern w:val="0"/>
                <w:sz w:val="21"/>
                <w:szCs w:val="21"/>
                <w:highlight w:val="none"/>
                <w:vertAlign w:val="baseline"/>
                <w:lang w:val="en-US" w:eastAsia="zh-CN"/>
              </w:rPr>
              <w:t>电控柜、操作箱及电缆</w:t>
            </w:r>
            <w:r>
              <w:rPr>
                <w:rFonts w:hint="eastAsia"/>
                <w:sz w:val="21"/>
                <w:szCs w:val="21"/>
                <w:highlight w:val="none"/>
                <w:lang w:eastAsia="zh-CN"/>
              </w:rPr>
              <w:t>）</w:t>
            </w:r>
          </w:p>
        </w:tc>
        <w:tc>
          <w:tcPr>
            <w:tcW w:w="1829" w:type="dxa"/>
            <w:noWrap w:val="0"/>
            <w:vAlign w:val="center"/>
          </w:tcPr>
          <w:p w14:paraId="3B505D5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850" w:type="dxa"/>
            <w:noWrap w:val="0"/>
            <w:vAlign w:val="center"/>
          </w:tcPr>
          <w:p w14:paraId="3FD2310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2E4A906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19B975F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3986349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7E8D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6EB60D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807" w:type="dxa"/>
            <w:shd w:val="clear" w:color="auto" w:fill="auto"/>
            <w:noWrap w:val="0"/>
            <w:vAlign w:val="center"/>
          </w:tcPr>
          <w:p w14:paraId="22E42A7B">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Times New Roman" w:hAnsi="Times New Roman" w:eastAsia="宋体" w:cs="Times New Roman"/>
                <w:sz w:val="21"/>
                <w:szCs w:val="21"/>
                <w:highlight w:val="none"/>
                <w:lang w:val="en-US" w:eastAsia="zh-CN"/>
              </w:rPr>
            </w:pPr>
            <w:r>
              <w:rPr>
                <w:rFonts w:hint="eastAsia" w:ascii="宋体" w:hAnsi="宋体" w:cs="宋体"/>
                <w:snapToGrid/>
                <w:color w:val="auto"/>
                <w:spacing w:val="0"/>
                <w:kern w:val="0"/>
                <w:sz w:val="21"/>
                <w:szCs w:val="21"/>
                <w:highlight w:val="none"/>
                <w:vertAlign w:val="baseline"/>
                <w:lang w:val="en-US" w:eastAsia="zh-CN" w:bidi="ar-SA"/>
              </w:rPr>
              <w:t>NE30斗式提升机</w:t>
            </w:r>
            <w:r>
              <w:rPr>
                <w:rFonts w:hint="eastAsia"/>
                <w:sz w:val="21"/>
                <w:szCs w:val="21"/>
                <w:highlight w:val="none"/>
                <w:lang w:eastAsia="zh-CN"/>
              </w:rPr>
              <w:t>（</w:t>
            </w:r>
            <w:r>
              <w:rPr>
                <w:rFonts w:hint="eastAsia"/>
                <w:sz w:val="21"/>
                <w:szCs w:val="21"/>
                <w:highlight w:val="none"/>
                <w:lang w:val="en-US" w:eastAsia="zh-CN"/>
              </w:rPr>
              <w:t>含</w:t>
            </w:r>
            <w:r>
              <w:rPr>
                <w:rFonts w:hint="eastAsia" w:ascii="宋体" w:hAnsi="宋体" w:cs="宋体"/>
                <w:snapToGrid/>
                <w:color w:val="auto"/>
                <w:spacing w:val="0"/>
                <w:kern w:val="0"/>
                <w:sz w:val="21"/>
                <w:szCs w:val="21"/>
                <w:highlight w:val="none"/>
                <w:vertAlign w:val="baseline"/>
                <w:lang w:val="en-US" w:eastAsia="zh-CN"/>
              </w:rPr>
              <w:t>电控柜、操作箱、电缆</w:t>
            </w:r>
            <w:r>
              <w:rPr>
                <w:rFonts w:hint="eastAsia"/>
                <w:sz w:val="21"/>
                <w:szCs w:val="21"/>
                <w:highlight w:val="none"/>
                <w:lang w:eastAsia="zh-CN"/>
              </w:rPr>
              <w:t>）</w:t>
            </w:r>
          </w:p>
        </w:tc>
        <w:tc>
          <w:tcPr>
            <w:tcW w:w="1829" w:type="dxa"/>
            <w:noWrap w:val="0"/>
            <w:vAlign w:val="center"/>
          </w:tcPr>
          <w:p w14:paraId="5E887BD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07AC1FD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28933D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185A34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5B60458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6297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09CD44B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807" w:type="dxa"/>
            <w:shd w:val="clear" w:color="auto" w:fill="auto"/>
            <w:noWrap w:val="0"/>
            <w:vAlign w:val="center"/>
          </w:tcPr>
          <w:p w14:paraId="6F11E132">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Times New Roman" w:hAnsi="Times New Roman" w:eastAsia="宋体" w:cs="Times New Roman"/>
                <w:sz w:val="21"/>
                <w:szCs w:val="21"/>
                <w:highlight w:val="none"/>
                <w:lang w:val="en-US" w:eastAsia="zh-CN"/>
              </w:rPr>
            </w:pPr>
            <w:r>
              <w:rPr>
                <w:rFonts w:hint="eastAsia" w:ascii="宋体" w:hAnsi="宋体" w:cs="宋体"/>
                <w:snapToGrid/>
                <w:color w:val="auto"/>
                <w:spacing w:val="0"/>
                <w:kern w:val="0"/>
                <w:sz w:val="21"/>
                <w:szCs w:val="21"/>
                <w:highlight w:val="none"/>
                <w:vertAlign w:val="baseline"/>
                <w:lang w:val="en-US" w:eastAsia="zh-CN" w:bidi="ar-SA"/>
              </w:rPr>
              <w:t>过渡仓及支腿</w:t>
            </w:r>
          </w:p>
        </w:tc>
        <w:tc>
          <w:tcPr>
            <w:tcW w:w="1829" w:type="dxa"/>
            <w:noWrap w:val="0"/>
            <w:vAlign w:val="center"/>
          </w:tcPr>
          <w:p w14:paraId="7833966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4437FA6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0176DC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0174DE8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13F4081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4D60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19E8F8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807" w:type="dxa"/>
            <w:shd w:val="clear" w:color="auto" w:fill="auto"/>
            <w:noWrap w:val="0"/>
            <w:vAlign w:val="center"/>
          </w:tcPr>
          <w:p w14:paraId="1C94A8B0">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Times New Roman" w:hAnsi="Times New Roman" w:eastAsia="宋体" w:cs="Times New Roman"/>
                <w:sz w:val="21"/>
                <w:szCs w:val="21"/>
                <w:highlight w:val="none"/>
                <w:lang w:val="en-US" w:eastAsia="zh-CN"/>
              </w:rPr>
            </w:pPr>
            <w:r>
              <w:rPr>
                <w:rFonts w:hint="eastAsia" w:ascii="宋体" w:hAnsi="宋体" w:cs="宋体"/>
                <w:snapToGrid/>
                <w:color w:val="auto"/>
                <w:spacing w:val="0"/>
                <w:kern w:val="0"/>
                <w:sz w:val="21"/>
                <w:szCs w:val="21"/>
                <w:highlight w:val="none"/>
                <w:vertAlign w:val="baseline"/>
                <w:lang w:val="en-US" w:eastAsia="zh-CN" w:bidi="ar-SA"/>
              </w:rPr>
              <w:t>除铁器</w:t>
            </w:r>
          </w:p>
        </w:tc>
        <w:tc>
          <w:tcPr>
            <w:tcW w:w="1829" w:type="dxa"/>
            <w:noWrap w:val="0"/>
            <w:vAlign w:val="center"/>
          </w:tcPr>
          <w:p w14:paraId="4E5EE2A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4D71AB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17BF965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7C3BEC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65DE53E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5238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384D4F7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807" w:type="dxa"/>
            <w:shd w:val="clear" w:color="auto" w:fill="auto"/>
            <w:noWrap w:val="0"/>
            <w:vAlign w:val="center"/>
          </w:tcPr>
          <w:p w14:paraId="75647F9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Times New Roman" w:hAnsi="Times New Roman" w:eastAsia="宋体" w:cs="Times New Roman"/>
                <w:sz w:val="21"/>
                <w:szCs w:val="21"/>
                <w:highlight w:val="none"/>
                <w:lang w:val="en-US" w:eastAsia="zh-CN"/>
              </w:rPr>
            </w:pPr>
            <w:r>
              <w:rPr>
                <w:rFonts w:hint="eastAsia" w:ascii="宋体" w:hAnsi="宋体" w:cs="宋体"/>
                <w:snapToGrid/>
                <w:color w:val="auto"/>
                <w:spacing w:val="0"/>
                <w:kern w:val="0"/>
                <w:sz w:val="21"/>
                <w:szCs w:val="21"/>
                <w:highlight w:val="none"/>
                <w:vertAlign w:val="baseline"/>
                <w:lang w:val="en-US" w:eastAsia="zh-CN"/>
              </w:rPr>
              <w:t>雷蒙磨</w:t>
            </w:r>
            <w:r>
              <w:rPr>
                <w:rFonts w:hint="eastAsia"/>
                <w:sz w:val="21"/>
                <w:szCs w:val="21"/>
                <w:highlight w:val="none"/>
                <w:lang w:eastAsia="zh-CN"/>
              </w:rPr>
              <w:t>（</w:t>
            </w:r>
            <w:r>
              <w:rPr>
                <w:rFonts w:hint="eastAsia"/>
                <w:sz w:val="21"/>
                <w:szCs w:val="21"/>
                <w:highlight w:val="none"/>
                <w:lang w:val="en-US" w:eastAsia="zh-CN"/>
              </w:rPr>
              <w:t>含风机、旋风筒、管道系统、</w:t>
            </w:r>
            <w:r>
              <w:rPr>
                <w:rFonts w:hint="eastAsia" w:ascii="宋体" w:hAnsi="宋体" w:cs="宋体"/>
                <w:snapToGrid/>
                <w:color w:val="auto"/>
                <w:spacing w:val="0"/>
                <w:kern w:val="0"/>
                <w:sz w:val="21"/>
                <w:szCs w:val="21"/>
                <w:highlight w:val="none"/>
                <w:vertAlign w:val="baseline"/>
                <w:lang w:val="en-US" w:eastAsia="zh-CN"/>
              </w:rPr>
              <w:t>电控柜、操作箱及电缆</w:t>
            </w:r>
            <w:r>
              <w:rPr>
                <w:rFonts w:hint="eastAsia"/>
                <w:sz w:val="21"/>
                <w:szCs w:val="21"/>
                <w:highlight w:val="none"/>
                <w:lang w:eastAsia="zh-CN"/>
              </w:rPr>
              <w:t>）</w:t>
            </w:r>
          </w:p>
        </w:tc>
        <w:tc>
          <w:tcPr>
            <w:tcW w:w="1829" w:type="dxa"/>
            <w:noWrap w:val="0"/>
            <w:vAlign w:val="center"/>
          </w:tcPr>
          <w:p w14:paraId="1FE1E1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3E37D0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6AE7092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7594F66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664CEFB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E16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0FA2EF9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807" w:type="dxa"/>
            <w:noWrap w:val="0"/>
            <w:vAlign w:val="center"/>
          </w:tcPr>
          <w:p w14:paraId="1BDDDA0E">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1"/>
                <w:szCs w:val="21"/>
                <w:highlight w:val="none"/>
                <w:lang w:val="en-US" w:eastAsia="zh-CN"/>
              </w:rPr>
            </w:pPr>
            <w:r>
              <w:rPr>
                <w:rFonts w:hint="eastAsia" w:ascii="宋体" w:hAnsi="宋体" w:eastAsia="宋体" w:cs="宋体"/>
                <w:snapToGrid/>
                <w:color w:val="auto"/>
                <w:spacing w:val="0"/>
                <w:kern w:val="0"/>
                <w:sz w:val="21"/>
                <w:szCs w:val="21"/>
                <w:highlight w:val="none"/>
                <w:vertAlign w:val="baseline"/>
                <w:lang w:val="en-US" w:eastAsia="zh-CN"/>
              </w:rPr>
              <w:t>储料仓及</w:t>
            </w:r>
            <w:r>
              <w:rPr>
                <w:rFonts w:hint="eastAsia" w:ascii="宋体" w:hAnsi="宋体" w:cs="宋体"/>
                <w:snapToGrid/>
                <w:color w:val="auto"/>
                <w:spacing w:val="0"/>
                <w:kern w:val="0"/>
                <w:sz w:val="21"/>
                <w:szCs w:val="21"/>
                <w:highlight w:val="none"/>
                <w:vertAlign w:val="baseline"/>
                <w:lang w:val="en-US" w:eastAsia="zh-CN"/>
              </w:rPr>
              <w:t>支腿</w:t>
            </w:r>
          </w:p>
        </w:tc>
        <w:tc>
          <w:tcPr>
            <w:tcW w:w="1829" w:type="dxa"/>
            <w:noWrap w:val="0"/>
            <w:vAlign w:val="center"/>
          </w:tcPr>
          <w:p w14:paraId="4EB11E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47E153B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1D678A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0952797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51FCAF8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2394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2F8C1CC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807" w:type="dxa"/>
            <w:noWrap w:val="0"/>
            <w:vAlign w:val="center"/>
          </w:tcPr>
          <w:p w14:paraId="0BEAF732">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宋体" w:hAnsi="宋体" w:eastAsia="宋体" w:cs="宋体"/>
                <w:snapToGrid/>
                <w:color w:val="auto"/>
                <w:spacing w:val="0"/>
                <w:kern w:val="0"/>
                <w:sz w:val="21"/>
                <w:szCs w:val="21"/>
                <w:highlight w:val="none"/>
                <w:vertAlign w:val="baseline"/>
                <w:lang w:val="en-US" w:eastAsia="zh-CN"/>
              </w:rPr>
            </w:pPr>
            <w:r>
              <w:rPr>
                <w:rFonts w:hint="eastAsia" w:ascii="宋体" w:hAnsi="宋体" w:eastAsia="宋体" w:cs="宋体"/>
                <w:snapToGrid/>
                <w:color w:val="auto"/>
                <w:spacing w:val="0"/>
                <w:kern w:val="0"/>
                <w:sz w:val="21"/>
                <w:szCs w:val="21"/>
                <w:highlight w:val="none"/>
                <w:vertAlign w:val="baseline"/>
                <w:lang w:val="en-US" w:eastAsia="zh-CN"/>
              </w:rPr>
              <w:t>搅拌装置（含电机、操作箱、电缆）</w:t>
            </w:r>
          </w:p>
        </w:tc>
        <w:tc>
          <w:tcPr>
            <w:tcW w:w="1829" w:type="dxa"/>
            <w:noWrap w:val="0"/>
            <w:vAlign w:val="center"/>
          </w:tcPr>
          <w:p w14:paraId="03B54E9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0D08603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61E6D0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0CD5F4B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6517DE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077F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29DCC4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807" w:type="dxa"/>
            <w:noWrap w:val="0"/>
            <w:vAlign w:val="center"/>
          </w:tcPr>
          <w:p w14:paraId="391CE1B7">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宋体" w:hAnsi="宋体" w:eastAsia="宋体" w:cs="宋体"/>
                <w:snapToGrid/>
                <w:color w:val="auto"/>
                <w:spacing w:val="0"/>
                <w:kern w:val="0"/>
                <w:sz w:val="21"/>
                <w:szCs w:val="21"/>
                <w:highlight w:val="none"/>
                <w:vertAlign w:val="baseline"/>
                <w:lang w:val="en-US" w:eastAsia="zh-CN"/>
              </w:rPr>
            </w:pPr>
            <w:r>
              <w:rPr>
                <w:rFonts w:hint="eastAsia" w:ascii="宋体" w:hAnsi="宋体" w:eastAsia="宋体" w:cs="宋体"/>
                <w:snapToGrid/>
                <w:color w:val="auto"/>
                <w:spacing w:val="0"/>
                <w:kern w:val="0"/>
                <w:sz w:val="21"/>
                <w:szCs w:val="21"/>
                <w:highlight w:val="none"/>
                <w:vertAlign w:val="baseline"/>
                <w:lang w:val="en-US" w:eastAsia="zh-CN"/>
              </w:rPr>
              <w:t>爬梯、平台、栏杆、地坑盖板</w:t>
            </w:r>
            <w:r>
              <w:rPr>
                <w:rFonts w:hint="eastAsia" w:ascii="宋体" w:hAnsi="宋体" w:cs="宋体"/>
                <w:snapToGrid/>
                <w:color w:val="auto"/>
                <w:spacing w:val="0"/>
                <w:kern w:val="0"/>
                <w:sz w:val="21"/>
                <w:szCs w:val="21"/>
                <w:highlight w:val="none"/>
                <w:vertAlign w:val="baseline"/>
                <w:lang w:val="en-US" w:eastAsia="zh-CN"/>
              </w:rPr>
              <w:t>、电缆、桥架</w:t>
            </w:r>
            <w:r>
              <w:rPr>
                <w:rFonts w:hint="eastAsia" w:ascii="宋体" w:hAnsi="宋体" w:eastAsia="宋体" w:cs="宋体"/>
                <w:snapToGrid/>
                <w:color w:val="auto"/>
                <w:spacing w:val="0"/>
                <w:kern w:val="0"/>
                <w:sz w:val="21"/>
                <w:szCs w:val="21"/>
                <w:highlight w:val="none"/>
                <w:vertAlign w:val="baseline"/>
                <w:lang w:val="en-US" w:eastAsia="zh-CN"/>
              </w:rPr>
              <w:t>等附件</w:t>
            </w:r>
          </w:p>
        </w:tc>
        <w:tc>
          <w:tcPr>
            <w:tcW w:w="1829" w:type="dxa"/>
            <w:noWrap w:val="0"/>
            <w:vAlign w:val="center"/>
          </w:tcPr>
          <w:p w14:paraId="2A9DB4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703BB1E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4937F3B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61356AD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52A979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7637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5A01643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807" w:type="dxa"/>
            <w:noWrap w:val="0"/>
            <w:vAlign w:val="center"/>
          </w:tcPr>
          <w:p w14:paraId="4F0D41B3">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宋体" w:hAnsi="宋体" w:eastAsia="宋体" w:cs="宋体"/>
                <w:snapToGrid/>
                <w:color w:val="auto"/>
                <w:spacing w:val="0"/>
                <w:kern w:val="0"/>
                <w:sz w:val="21"/>
                <w:szCs w:val="21"/>
                <w:highlight w:val="none"/>
                <w:vertAlign w:val="baseline"/>
                <w:lang w:val="en-US" w:eastAsia="zh-CN"/>
              </w:rPr>
            </w:pPr>
            <w:r>
              <w:rPr>
                <w:rFonts w:hint="eastAsia" w:ascii="宋体" w:hAnsi="宋体" w:eastAsia="宋体" w:cs="宋体"/>
                <w:snapToGrid/>
                <w:color w:val="auto"/>
                <w:spacing w:val="0"/>
                <w:kern w:val="0"/>
                <w:sz w:val="21"/>
                <w:szCs w:val="21"/>
                <w:highlight w:val="none"/>
                <w:vertAlign w:val="baseline"/>
                <w:lang w:val="en-US" w:eastAsia="zh-CN"/>
              </w:rPr>
              <w:t>上述1-8项所有安装附件</w:t>
            </w:r>
          </w:p>
        </w:tc>
        <w:tc>
          <w:tcPr>
            <w:tcW w:w="1829" w:type="dxa"/>
            <w:noWrap w:val="0"/>
            <w:vAlign w:val="center"/>
          </w:tcPr>
          <w:p w14:paraId="7F7324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6B6172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56DE3D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15955EB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B66964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C41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7AE85F1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807" w:type="dxa"/>
            <w:noWrap w:val="0"/>
            <w:vAlign w:val="center"/>
          </w:tcPr>
          <w:p w14:paraId="0A94AE4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eastAsia" w:ascii="宋体" w:hAnsi="宋体" w:eastAsia="宋体" w:cs="宋体"/>
                <w:snapToGrid/>
                <w:color w:val="auto"/>
                <w:spacing w:val="0"/>
                <w:kern w:val="0"/>
                <w:sz w:val="21"/>
                <w:szCs w:val="21"/>
                <w:highlight w:val="none"/>
                <w:vertAlign w:val="baseline"/>
                <w:lang w:val="en-US" w:eastAsia="zh-CN"/>
              </w:rPr>
            </w:pPr>
            <w:r>
              <w:rPr>
                <w:rFonts w:hint="eastAsia" w:ascii="宋体" w:hAnsi="宋体" w:eastAsia="宋体" w:cs="宋体"/>
                <w:snapToGrid/>
                <w:color w:val="auto"/>
                <w:spacing w:val="0"/>
                <w:kern w:val="0"/>
                <w:sz w:val="21"/>
                <w:szCs w:val="21"/>
                <w:highlight w:val="none"/>
                <w:vertAlign w:val="baseline"/>
                <w:lang w:val="en-US" w:eastAsia="zh-CN"/>
              </w:rPr>
              <w:t>其它为满足本技术文件要求功能必须的组件</w:t>
            </w:r>
          </w:p>
        </w:tc>
        <w:tc>
          <w:tcPr>
            <w:tcW w:w="1829" w:type="dxa"/>
            <w:noWrap w:val="0"/>
            <w:vAlign w:val="center"/>
          </w:tcPr>
          <w:p w14:paraId="00104F1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260CA6C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096A29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5E1238A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338EADE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0B12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68" w:type="dxa"/>
            <w:noWrap w:val="0"/>
            <w:vAlign w:val="center"/>
          </w:tcPr>
          <w:p w14:paraId="5ECA12A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807" w:type="dxa"/>
            <w:noWrap w:val="0"/>
            <w:vAlign w:val="center"/>
          </w:tcPr>
          <w:p w14:paraId="2C433D46">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安装、调试费用</w:t>
            </w:r>
          </w:p>
        </w:tc>
        <w:tc>
          <w:tcPr>
            <w:tcW w:w="1829" w:type="dxa"/>
            <w:noWrap w:val="0"/>
            <w:vAlign w:val="center"/>
          </w:tcPr>
          <w:p w14:paraId="7A824D2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0" w:type="dxa"/>
            <w:noWrap w:val="0"/>
            <w:vAlign w:val="center"/>
          </w:tcPr>
          <w:p w14:paraId="32654C9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834" w:type="dxa"/>
            <w:noWrap w:val="0"/>
            <w:vAlign w:val="center"/>
          </w:tcPr>
          <w:p w14:paraId="3E3C5C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642" w:type="dxa"/>
            <w:noWrap w:val="0"/>
            <w:vAlign w:val="center"/>
          </w:tcPr>
          <w:p w14:paraId="17FCB53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7404B2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6B5E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575" w:type="dxa"/>
            <w:gridSpan w:val="2"/>
            <w:noWrap w:val="0"/>
            <w:vAlign w:val="center"/>
          </w:tcPr>
          <w:p w14:paraId="34A7144A">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right="0" w:rightChars="0" w:firstLine="1470" w:firstLineChars="700"/>
              <w:jc w:val="left"/>
              <w:textAlignment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总价</w:t>
            </w:r>
          </w:p>
        </w:tc>
        <w:tc>
          <w:tcPr>
            <w:tcW w:w="6008" w:type="dxa"/>
            <w:gridSpan w:val="5"/>
            <w:noWrap w:val="0"/>
            <w:vAlign w:val="center"/>
          </w:tcPr>
          <w:p w14:paraId="0A50E02F">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leftChars="0" w:right="0" w:rightChars="0" w:firstLine="0" w:firstLineChars="0"/>
              <w:jc w:val="left"/>
              <w:textAlignment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 xml:space="preserve">大写：                        </w:t>
            </w: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w:t>
            </w:r>
          </w:p>
        </w:tc>
      </w:tr>
    </w:tbl>
    <w:p w14:paraId="58C9893A">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p>
    <w:p w14:paraId="7F7A3D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2C2EC135">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409903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4E09F5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14:paraId="4C17B067">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4F522FA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3961BC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sz w:val="28"/>
          <w:szCs w:val="24"/>
        </w:rPr>
        <w:sectPr>
          <w:footerReference r:id="rId3" w:type="first"/>
          <w:pgSz w:w="11905" w:h="16838"/>
          <w:pgMar w:top="1276" w:right="1587" w:bottom="1304" w:left="1587" w:header="567" w:footer="850" w:gutter="0"/>
          <w:pgNumType w:start="1"/>
          <w:cols w:space="0" w:num="1"/>
          <w:docGrid w:linePitch="326" w:charSpace="0"/>
        </w:sect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5</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28</w:t>
      </w:r>
      <w:r>
        <w:rPr>
          <w:rFonts w:hint="eastAsia" w:ascii="仿宋" w:hAnsi="仿宋" w:eastAsia="仿宋"/>
          <w:b w:val="0"/>
          <w:bCs w:val="0"/>
          <w:color w:val="auto"/>
          <w:sz w:val="30"/>
          <w:szCs w:val="30"/>
        </w:rPr>
        <w:t>日</w:t>
      </w:r>
    </w:p>
    <w:p w14:paraId="31D274B7">
      <w:pPr>
        <w:spacing w:line="500" w:lineRule="exact"/>
        <w:rPr>
          <w:rFonts w:hint="eastAsia" w:ascii="仿宋" w:hAnsi="仿宋" w:eastAsia="仿宋"/>
          <w:sz w:val="28"/>
          <w:szCs w:val="24"/>
        </w:rPr>
      </w:pPr>
      <w:r>
        <w:rPr>
          <w:rFonts w:hint="eastAsia" w:ascii="仿宋" w:hAnsi="仿宋" w:eastAsia="仿宋"/>
          <w:sz w:val="28"/>
          <w:szCs w:val="24"/>
        </w:rPr>
        <w:t>参考分项报价表，请列入商务卷分项报价部分（投标单位可根据技术要求详细填写）</w:t>
      </w:r>
    </w:p>
    <w:p w14:paraId="71D47050">
      <w:pPr>
        <w:spacing w:line="500" w:lineRule="exact"/>
        <w:rPr>
          <w:rFonts w:hint="eastAsia" w:ascii="仿宋" w:hAnsi="仿宋" w:eastAsia="仿宋"/>
          <w:sz w:val="28"/>
          <w:szCs w:val="24"/>
        </w:rPr>
      </w:pPr>
    </w:p>
    <w:p w14:paraId="7DE5931D">
      <w:pPr>
        <w:spacing w:line="500" w:lineRule="exact"/>
        <w:rPr>
          <w:rFonts w:hint="eastAsia" w:ascii="仿宋" w:hAnsi="仿宋" w:eastAsia="仿宋"/>
          <w:sz w:val="28"/>
          <w:szCs w:val="24"/>
        </w:rPr>
      </w:pPr>
    </w:p>
    <w:p w14:paraId="6B49A8A8">
      <w:pPr>
        <w:spacing w:line="500" w:lineRule="exact"/>
        <w:rPr>
          <w:rFonts w:hint="eastAsia" w:ascii="仿宋" w:hAnsi="仿宋" w:eastAsia="仿宋"/>
          <w:sz w:val="28"/>
          <w:szCs w:val="24"/>
        </w:rPr>
      </w:pPr>
    </w:p>
    <w:p w14:paraId="03D82F3E">
      <w:pPr>
        <w:spacing w:line="500" w:lineRule="exact"/>
        <w:rPr>
          <w:rFonts w:hint="eastAsia" w:ascii="仿宋" w:hAnsi="仿宋" w:eastAsia="仿宋"/>
          <w:sz w:val="28"/>
          <w:szCs w:val="24"/>
        </w:rPr>
      </w:pPr>
    </w:p>
    <w:p w14:paraId="17991AE4">
      <w:pPr>
        <w:spacing w:line="500" w:lineRule="exact"/>
        <w:rPr>
          <w:rFonts w:hint="eastAsia" w:ascii="仿宋" w:hAnsi="仿宋" w:eastAsia="仿宋"/>
          <w:sz w:val="28"/>
          <w:szCs w:val="24"/>
        </w:rPr>
      </w:pPr>
    </w:p>
    <w:p w14:paraId="67A96D99">
      <w:pPr>
        <w:spacing w:line="500" w:lineRule="exact"/>
        <w:rPr>
          <w:rFonts w:hint="eastAsia" w:ascii="仿宋" w:hAnsi="仿宋" w:eastAsia="仿宋"/>
          <w:sz w:val="28"/>
          <w:szCs w:val="24"/>
        </w:rPr>
      </w:pPr>
    </w:p>
    <w:p w14:paraId="69DE7F70">
      <w:pPr>
        <w:spacing w:line="500" w:lineRule="exact"/>
        <w:rPr>
          <w:rFonts w:hint="eastAsia" w:ascii="仿宋" w:hAnsi="仿宋" w:eastAsia="仿宋"/>
          <w:sz w:val="28"/>
          <w:szCs w:val="24"/>
        </w:rPr>
      </w:pPr>
    </w:p>
    <w:p w14:paraId="17CBEB5E">
      <w:pPr>
        <w:spacing w:line="500" w:lineRule="exact"/>
        <w:rPr>
          <w:rFonts w:hint="eastAsia" w:ascii="仿宋" w:hAnsi="仿宋" w:eastAsia="仿宋"/>
          <w:sz w:val="28"/>
          <w:szCs w:val="24"/>
        </w:rPr>
      </w:pPr>
    </w:p>
    <w:tbl>
      <w:tblPr>
        <w:tblStyle w:val="52"/>
        <w:tblpPr w:leftFromText="180" w:rightFromText="180" w:vertAnchor="page" w:horzAnchor="margin" w:tblpY="259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21"/>
        <w:gridCol w:w="1074"/>
        <w:gridCol w:w="1487"/>
        <w:gridCol w:w="512"/>
        <w:gridCol w:w="515"/>
        <w:gridCol w:w="849"/>
        <w:gridCol w:w="849"/>
        <w:gridCol w:w="809"/>
        <w:gridCol w:w="1216"/>
      </w:tblGrid>
      <w:tr w14:paraId="15CA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trPr>
        <w:tc>
          <w:tcPr>
            <w:tcW w:w="710" w:type="dxa"/>
            <w:shd w:val="clear" w:color="auto" w:fill="auto"/>
            <w:vAlign w:val="center"/>
          </w:tcPr>
          <w:p w14:paraId="05113C69">
            <w:pPr>
              <w:widowControl/>
              <w:jc w:val="center"/>
              <w:rPr>
                <w:rFonts w:hint="eastAsia" w:ascii="宋体" w:hAnsi="宋体"/>
                <w:b/>
                <w:bCs/>
                <w:szCs w:val="21"/>
              </w:rPr>
            </w:pPr>
            <w:r>
              <w:rPr>
                <w:rFonts w:ascii="宋体" w:hAnsi="宋体"/>
                <w:b/>
                <w:bCs/>
                <w:kern w:val="0"/>
                <w:szCs w:val="21"/>
              </w:rPr>
              <w:t>序号</w:t>
            </w:r>
          </w:p>
        </w:tc>
        <w:tc>
          <w:tcPr>
            <w:tcW w:w="1695" w:type="dxa"/>
            <w:gridSpan w:val="2"/>
            <w:shd w:val="clear" w:color="auto" w:fill="auto"/>
            <w:vAlign w:val="center"/>
          </w:tcPr>
          <w:p w14:paraId="014731A9">
            <w:pPr>
              <w:widowControl/>
              <w:jc w:val="center"/>
              <w:rPr>
                <w:rFonts w:hint="eastAsia" w:ascii="宋体" w:hAnsi="宋体"/>
                <w:b/>
                <w:bCs/>
                <w:szCs w:val="21"/>
              </w:rPr>
            </w:pPr>
            <w:r>
              <w:rPr>
                <w:rFonts w:hint="eastAsia" w:ascii="宋体" w:hAnsi="宋体"/>
                <w:b/>
                <w:bCs/>
                <w:kern w:val="0"/>
                <w:szCs w:val="21"/>
              </w:rPr>
              <w:t>设备名称</w:t>
            </w:r>
          </w:p>
        </w:tc>
        <w:tc>
          <w:tcPr>
            <w:tcW w:w="1487" w:type="dxa"/>
            <w:vAlign w:val="center"/>
          </w:tcPr>
          <w:p w14:paraId="2348C5A3">
            <w:pPr>
              <w:jc w:val="center"/>
              <w:rPr>
                <w:rFonts w:hint="eastAsia" w:ascii="宋体" w:hAnsi="宋体"/>
                <w:b/>
                <w:bCs/>
                <w:kern w:val="0"/>
                <w:szCs w:val="21"/>
              </w:rPr>
            </w:pPr>
            <w:r>
              <w:rPr>
                <w:rFonts w:hint="eastAsia" w:ascii="宋体" w:hAnsi="宋体"/>
                <w:b/>
                <w:bCs/>
                <w:kern w:val="0"/>
                <w:szCs w:val="21"/>
              </w:rPr>
              <w:t>规格型号</w:t>
            </w:r>
          </w:p>
        </w:tc>
        <w:tc>
          <w:tcPr>
            <w:tcW w:w="512" w:type="dxa"/>
            <w:vAlign w:val="center"/>
          </w:tcPr>
          <w:p w14:paraId="39D2BC42">
            <w:pPr>
              <w:jc w:val="center"/>
              <w:rPr>
                <w:rFonts w:hint="eastAsia" w:ascii="宋体" w:hAnsi="宋体"/>
                <w:b/>
                <w:bCs/>
                <w:kern w:val="0"/>
                <w:szCs w:val="21"/>
              </w:rPr>
            </w:pPr>
            <w:r>
              <w:rPr>
                <w:rFonts w:hint="eastAsia" w:ascii="宋体" w:hAnsi="宋体"/>
                <w:b/>
                <w:bCs/>
                <w:kern w:val="0"/>
                <w:szCs w:val="21"/>
              </w:rPr>
              <w:t>单位</w:t>
            </w:r>
          </w:p>
        </w:tc>
        <w:tc>
          <w:tcPr>
            <w:tcW w:w="515" w:type="dxa"/>
            <w:vAlign w:val="center"/>
          </w:tcPr>
          <w:p w14:paraId="648CFE3D">
            <w:pPr>
              <w:jc w:val="center"/>
              <w:rPr>
                <w:rFonts w:hint="eastAsia" w:ascii="宋体" w:hAnsi="宋体" w:cs="宋体"/>
                <w:b/>
                <w:bCs/>
                <w:szCs w:val="21"/>
              </w:rPr>
            </w:pPr>
            <w:r>
              <w:rPr>
                <w:rFonts w:ascii="宋体" w:hAnsi="宋体"/>
                <w:b/>
                <w:bCs/>
                <w:kern w:val="0"/>
                <w:szCs w:val="21"/>
              </w:rPr>
              <w:t>数量</w:t>
            </w:r>
          </w:p>
        </w:tc>
        <w:tc>
          <w:tcPr>
            <w:tcW w:w="849" w:type="dxa"/>
            <w:shd w:val="clear" w:color="auto" w:fill="auto"/>
            <w:vAlign w:val="center"/>
          </w:tcPr>
          <w:p w14:paraId="10024C9F">
            <w:pPr>
              <w:jc w:val="center"/>
              <w:rPr>
                <w:rFonts w:hint="eastAsia" w:ascii="宋体" w:hAnsi="宋体" w:cs="Arial"/>
                <w:b/>
                <w:bCs/>
                <w:szCs w:val="21"/>
              </w:rPr>
            </w:pPr>
            <w:r>
              <w:rPr>
                <w:rFonts w:hint="eastAsia" w:ascii="宋体" w:hAnsi="宋体" w:cs="Arial"/>
                <w:b/>
                <w:bCs/>
                <w:szCs w:val="21"/>
              </w:rPr>
              <w:t>单价（元）</w:t>
            </w:r>
          </w:p>
        </w:tc>
        <w:tc>
          <w:tcPr>
            <w:tcW w:w="849" w:type="dxa"/>
            <w:shd w:val="clear" w:color="auto" w:fill="auto"/>
            <w:vAlign w:val="center"/>
          </w:tcPr>
          <w:p w14:paraId="434216CD">
            <w:pPr>
              <w:jc w:val="center"/>
              <w:rPr>
                <w:rFonts w:hint="eastAsia" w:ascii="宋体" w:hAnsi="宋体" w:cs="Arial"/>
                <w:b/>
                <w:bCs/>
                <w:szCs w:val="21"/>
              </w:rPr>
            </w:pPr>
            <w:r>
              <w:rPr>
                <w:rFonts w:hint="eastAsia" w:ascii="宋体" w:hAnsi="宋体" w:cs="Arial"/>
                <w:b/>
                <w:bCs/>
                <w:szCs w:val="21"/>
              </w:rPr>
              <w:t>总价（元）</w:t>
            </w:r>
          </w:p>
        </w:tc>
        <w:tc>
          <w:tcPr>
            <w:tcW w:w="809" w:type="dxa"/>
            <w:vAlign w:val="center"/>
          </w:tcPr>
          <w:p w14:paraId="5971824D">
            <w:pPr>
              <w:widowControl/>
              <w:jc w:val="center"/>
              <w:rPr>
                <w:rFonts w:hint="eastAsia" w:ascii="宋体" w:hAnsi="宋体"/>
                <w:b/>
                <w:bCs/>
                <w:kern w:val="0"/>
                <w:szCs w:val="21"/>
              </w:rPr>
            </w:pPr>
            <w:r>
              <w:rPr>
                <w:rFonts w:hint="eastAsia" w:ascii="宋体" w:hAnsi="宋体"/>
                <w:b/>
                <w:bCs/>
                <w:kern w:val="0"/>
                <w:szCs w:val="21"/>
              </w:rPr>
              <w:t>品牌/厂家</w:t>
            </w:r>
          </w:p>
        </w:tc>
        <w:tc>
          <w:tcPr>
            <w:tcW w:w="1216" w:type="dxa"/>
            <w:shd w:val="clear" w:color="auto" w:fill="auto"/>
            <w:vAlign w:val="center"/>
          </w:tcPr>
          <w:p w14:paraId="72A096EA">
            <w:pPr>
              <w:widowControl/>
              <w:jc w:val="center"/>
              <w:rPr>
                <w:rFonts w:hint="eastAsia" w:ascii="宋体" w:hAnsi="宋体"/>
                <w:b/>
                <w:bCs/>
                <w:szCs w:val="21"/>
              </w:rPr>
            </w:pPr>
            <w:r>
              <w:rPr>
                <w:rFonts w:hint="eastAsia" w:ascii="宋体" w:hAnsi="宋体"/>
                <w:b/>
                <w:bCs/>
                <w:kern w:val="0"/>
                <w:szCs w:val="21"/>
              </w:rPr>
              <w:t>备注</w:t>
            </w:r>
          </w:p>
        </w:tc>
      </w:tr>
      <w:tr w14:paraId="7BD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shd w:val="clear" w:color="auto" w:fill="auto"/>
            <w:vAlign w:val="center"/>
          </w:tcPr>
          <w:p w14:paraId="1754F766">
            <w:pPr>
              <w:widowControl/>
              <w:jc w:val="center"/>
              <w:rPr>
                <w:rFonts w:hint="eastAsia" w:ascii="宋体" w:hAnsi="宋体"/>
                <w:b/>
                <w:bCs/>
                <w:szCs w:val="21"/>
              </w:rPr>
            </w:pPr>
            <w:r>
              <w:rPr>
                <w:rFonts w:hint="eastAsia" w:ascii="宋体" w:hAnsi="宋体"/>
                <w:kern w:val="0"/>
                <w:szCs w:val="21"/>
              </w:rPr>
              <w:t>1</w:t>
            </w:r>
          </w:p>
        </w:tc>
        <w:tc>
          <w:tcPr>
            <w:tcW w:w="1695" w:type="dxa"/>
            <w:gridSpan w:val="2"/>
            <w:shd w:val="clear" w:color="auto" w:fill="auto"/>
            <w:vAlign w:val="center"/>
          </w:tcPr>
          <w:p w14:paraId="31A3BDC0">
            <w:pPr>
              <w:widowControl/>
              <w:rPr>
                <w:rFonts w:hint="eastAsia" w:ascii="宋体" w:hAnsi="宋体"/>
                <w:b/>
                <w:bCs/>
                <w:szCs w:val="21"/>
              </w:rPr>
            </w:pPr>
          </w:p>
        </w:tc>
        <w:tc>
          <w:tcPr>
            <w:tcW w:w="1487" w:type="dxa"/>
          </w:tcPr>
          <w:p w14:paraId="71B34357">
            <w:pPr>
              <w:jc w:val="center"/>
              <w:rPr>
                <w:rFonts w:hint="eastAsia" w:ascii="宋体" w:hAnsi="宋体"/>
                <w:b/>
                <w:bCs/>
                <w:szCs w:val="21"/>
              </w:rPr>
            </w:pPr>
          </w:p>
        </w:tc>
        <w:tc>
          <w:tcPr>
            <w:tcW w:w="512" w:type="dxa"/>
            <w:vAlign w:val="center"/>
          </w:tcPr>
          <w:p w14:paraId="052B6396">
            <w:pPr>
              <w:jc w:val="center"/>
              <w:rPr>
                <w:rFonts w:hint="eastAsia" w:ascii="宋体" w:hAnsi="宋体"/>
                <w:b/>
                <w:bCs/>
                <w:szCs w:val="21"/>
              </w:rPr>
            </w:pPr>
          </w:p>
        </w:tc>
        <w:tc>
          <w:tcPr>
            <w:tcW w:w="515" w:type="dxa"/>
            <w:vAlign w:val="center"/>
          </w:tcPr>
          <w:p w14:paraId="6C981215">
            <w:pPr>
              <w:jc w:val="center"/>
              <w:rPr>
                <w:rFonts w:hint="eastAsia" w:ascii="宋体" w:hAnsi="宋体"/>
                <w:b/>
                <w:bCs/>
                <w:szCs w:val="21"/>
              </w:rPr>
            </w:pPr>
          </w:p>
        </w:tc>
        <w:tc>
          <w:tcPr>
            <w:tcW w:w="849" w:type="dxa"/>
            <w:shd w:val="clear" w:color="auto" w:fill="auto"/>
            <w:vAlign w:val="center"/>
          </w:tcPr>
          <w:p w14:paraId="20FAB05C">
            <w:pPr>
              <w:widowControl/>
              <w:jc w:val="center"/>
              <w:rPr>
                <w:rFonts w:hint="eastAsia" w:ascii="宋体" w:hAnsi="宋体"/>
                <w:b/>
                <w:bCs/>
                <w:szCs w:val="21"/>
              </w:rPr>
            </w:pPr>
          </w:p>
        </w:tc>
        <w:tc>
          <w:tcPr>
            <w:tcW w:w="849" w:type="dxa"/>
            <w:shd w:val="clear" w:color="auto" w:fill="auto"/>
            <w:vAlign w:val="center"/>
          </w:tcPr>
          <w:p w14:paraId="4C4C6F4B">
            <w:pPr>
              <w:widowControl/>
              <w:jc w:val="center"/>
              <w:rPr>
                <w:rFonts w:hint="eastAsia" w:ascii="宋体" w:hAnsi="宋体"/>
                <w:b/>
                <w:bCs/>
                <w:szCs w:val="21"/>
              </w:rPr>
            </w:pPr>
          </w:p>
        </w:tc>
        <w:tc>
          <w:tcPr>
            <w:tcW w:w="809" w:type="dxa"/>
          </w:tcPr>
          <w:p w14:paraId="2B568117">
            <w:pPr>
              <w:widowControl/>
              <w:jc w:val="center"/>
              <w:rPr>
                <w:rFonts w:hint="eastAsia" w:ascii="宋体" w:hAnsi="宋体"/>
                <w:b/>
                <w:bCs/>
                <w:szCs w:val="21"/>
              </w:rPr>
            </w:pPr>
          </w:p>
        </w:tc>
        <w:tc>
          <w:tcPr>
            <w:tcW w:w="1216" w:type="dxa"/>
            <w:shd w:val="clear" w:color="auto" w:fill="auto"/>
            <w:vAlign w:val="center"/>
          </w:tcPr>
          <w:p w14:paraId="30A317F6">
            <w:pPr>
              <w:widowControl/>
              <w:rPr>
                <w:rFonts w:hint="eastAsia" w:ascii="宋体" w:hAnsi="宋体"/>
                <w:b/>
                <w:bCs/>
                <w:szCs w:val="21"/>
              </w:rPr>
            </w:pPr>
          </w:p>
        </w:tc>
      </w:tr>
      <w:tr w14:paraId="7301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1E64AC48">
            <w:pPr>
              <w:jc w:val="center"/>
              <w:rPr>
                <w:rFonts w:hint="eastAsia" w:ascii="宋体" w:hAnsi="宋体" w:cs="宋体"/>
                <w:szCs w:val="21"/>
              </w:rPr>
            </w:pPr>
            <w:r>
              <w:rPr>
                <w:rFonts w:hint="eastAsia" w:ascii="宋体" w:hAnsi="宋体" w:cs="宋体"/>
                <w:szCs w:val="21"/>
              </w:rPr>
              <w:t>2</w:t>
            </w:r>
          </w:p>
        </w:tc>
        <w:tc>
          <w:tcPr>
            <w:tcW w:w="1695" w:type="dxa"/>
            <w:gridSpan w:val="2"/>
            <w:vAlign w:val="center"/>
          </w:tcPr>
          <w:p w14:paraId="17320B05">
            <w:pPr>
              <w:widowControl/>
              <w:textAlignment w:val="center"/>
              <w:rPr>
                <w:rFonts w:hint="eastAsia" w:ascii="宋体" w:hAnsi="宋体" w:cs="宋体"/>
                <w:szCs w:val="21"/>
              </w:rPr>
            </w:pPr>
          </w:p>
        </w:tc>
        <w:tc>
          <w:tcPr>
            <w:tcW w:w="1487" w:type="dxa"/>
          </w:tcPr>
          <w:p w14:paraId="75DD6F84">
            <w:pPr>
              <w:jc w:val="center"/>
              <w:rPr>
                <w:rFonts w:hint="eastAsia" w:ascii="宋体" w:hAnsi="宋体" w:cs="宋体"/>
                <w:szCs w:val="21"/>
              </w:rPr>
            </w:pPr>
          </w:p>
        </w:tc>
        <w:tc>
          <w:tcPr>
            <w:tcW w:w="512" w:type="dxa"/>
            <w:vAlign w:val="center"/>
          </w:tcPr>
          <w:p w14:paraId="4B0C1DB4">
            <w:pPr>
              <w:jc w:val="center"/>
              <w:rPr>
                <w:rFonts w:hint="eastAsia" w:ascii="宋体" w:hAnsi="宋体" w:cs="宋体"/>
                <w:szCs w:val="21"/>
              </w:rPr>
            </w:pPr>
          </w:p>
        </w:tc>
        <w:tc>
          <w:tcPr>
            <w:tcW w:w="515" w:type="dxa"/>
            <w:vAlign w:val="center"/>
          </w:tcPr>
          <w:p w14:paraId="2ADC5AE2">
            <w:pPr>
              <w:jc w:val="center"/>
              <w:rPr>
                <w:rFonts w:hint="eastAsia" w:ascii="宋体" w:hAnsi="宋体" w:cs="宋体"/>
                <w:szCs w:val="21"/>
              </w:rPr>
            </w:pPr>
          </w:p>
        </w:tc>
        <w:tc>
          <w:tcPr>
            <w:tcW w:w="849" w:type="dxa"/>
            <w:vAlign w:val="center"/>
          </w:tcPr>
          <w:p w14:paraId="6297576E">
            <w:pPr>
              <w:jc w:val="center"/>
              <w:rPr>
                <w:rFonts w:hint="eastAsia" w:ascii="宋体" w:hAnsi="宋体" w:cs="宋体"/>
                <w:szCs w:val="21"/>
              </w:rPr>
            </w:pPr>
          </w:p>
        </w:tc>
        <w:tc>
          <w:tcPr>
            <w:tcW w:w="849" w:type="dxa"/>
            <w:vAlign w:val="center"/>
          </w:tcPr>
          <w:p w14:paraId="6302142A">
            <w:pPr>
              <w:jc w:val="center"/>
              <w:rPr>
                <w:rFonts w:hint="eastAsia" w:ascii="宋体" w:hAnsi="宋体" w:cs="宋体"/>
                <w:szCs w:val="21"/>
              </w:rPr>
            </w:pPr>
          </w:p>
        </w:tc>
        <w:tc>
          <w:tcPr>
            <w:tcW w:w="809" w:type="dxa"/>
          </w:tcPr>
          <w:p w14:paraId="61CC7D1A">
            <w:pPr>
              <w:jc w:val="center"/>
              <w:rPr>
                <w:rFonts w:hint="eastAsia" w:ascii="宋体" w:hAnsi="宋体" w:cs="宋体"/>
                <w:szCs w:val="21"/>
              </w:rPr>
            </w:pPr>
          </w:p>
        </w:tc>
        <w:tc>
          <w:tcPr>
            <w:tcW w:w="1216" w:type="dxa"/>
            <w:vAlign w:val="center"/>
          </w:tcPr>
          <w:p w14:paraId="7CE83338">
            <w:pPr>
              <w:rPr>
                <w:rFonts w:hint="eastAsia" w:ascii="宋体" w:hAnsi="宋体" w:cs="宋体"/>
                <w:szCs w:val="21"/>
              </w:rPr>
            </w:pPr>
          </w:p>
        </w:tc>
      </w:tr>
      <w:tr w14:paraId="6CFD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2D79773B">
            <w:pPr>
              <w:jc w:val="center"/>
              <w:rPr>
                <w:rFonts w:hint="eastAsia" w:ascii="宋体" w:hAnsi="宋体" w:cs="宋体"/>
                <w:szCs w:val="21"/>
              </w:rPr>
            </w:pPr>
            <w:r>
              <w:rPr>
                <w:rFonts w:hint="eastAsia" w:ascii="宋体" w:hAnsi="宋体" w:cs="宋体"/>
                <w:szCs w:val="21"/>
              </w:rPr>
              <w:t>3</w:t>
            </w:r>
          </w:p>
        </w:tc>
        <w:tc>
          <w:tcPr>
            <w:tcW w:w="1695" w:type="dxa"/>
            <w:gridSpan w:val="2"/>
            <w:vAlign w:val="center"/>
          </w:tcPr>
          <w:p w14:paraId="27DFCAB5">
            <w:pPr>
              <w:widowControl/>
              <w:textAlignment w:val="center"/>
              <w:rPr>
                <w:rFonts w:hint="eastAsia" w:ascii="宋体" w:hAnsi="宋体" w:cs="宋体"/>
                <w:szCs w:val="21"/>
              </w:rPr>
            </w:pPr>
          </w:p>
        </w:tc>
        <w:tc>
          <w:tcPr>
            <w:tcW w:w="1487" w:type="dxa"/>
          </w:tcPr>
          <w:p w14:paraId="4F70450A">
            <w:pPr>
              <w:jc w:val="center"/>
              <w:rPr>
                <w:rFonts w:hint="eastAsia" w:ascii="宋体" w:hAnsi="宋体" w:cs="宋体"/>
                <w:szCs w:val="21"/>
              </w:rPr>
            </w:pPr>
          </w:p>
        </w:tc>
        <w:tc>
          <w:tcPr>
            <w:tcW w:w="512" w:type="dxa"/>
            <w:vAlign w:val="center"/>
          </w:tcPr>
          <w:p w14:paraId="21156ED2">
            <w:pPr>
              <w:jc w:val="center"/>
              <w:rPr>
                <w:rFonts w:hint="eastAsia" w:ascii="宋体" w:hAnsi="宋体" w:cs="宋体"/>
                <w:szCs w:val="21"/>
              </w:rPr>
            </w:pPr>
          </w:p>
        </w:tc>
        <w:tc>
          <w:tcPr>
            <w:tcW w:w="515" w:type="dxa"/>
            <w:vAlign w:val="center"/>
          </w:tcPr>
          <w:p w14:paraId="4E492E21">
            <w:pPr>
              <w:jc w:val="center"/>
              <w:rPr>
                <w:rFonts w:hint="eastAsia" w:ascii="宋体" w:hAnsi="宋体" w:cs="宋体"/>
                <w:szCs w:val="21"/>
              </w:rPr>
            </w:pPr>
          </w:p>
        </w:tc>
        <w:tc>
          <w:tcPr>
            <w:tcW w:w="849" w:type="dxa"/>
            <w:vAlign w:val="center"/>
          </w:tcPr>
          <w:p w14:paraId="687B7889">
            <w:pPr>
              <w:jc w:val="center"/>
              <w:rPr>
                <w:rFonts w:hint="eastAsia" w:ascii="宋体" w:hAnsi="宋体" w:cs="宋体"/>
                <w:szCs w:val="21"/>
              </w:rPr>
            </w:pPr>
          </w:p>
        </w:tc>
        <w:tc>
          <w:tcPr>
            <w:tcW w:w="849" w:type="dxa"/>
            <w:vAlign w:val="center"/>
          </w:tcPr>
          <w:p w14:paraId="63CC03B9">
            <w:pPr>
              <w:jc w:val="center"/>
              <w:rPr>
                <w:rFonts w:hint="eastAsia" w:ascii="宋体" w:hAnsi="宋体" w:cs="宋体"/>
                <w:szCs w:val="21"/>
              </w:rPr>
            </w:pPr>
          </w:p>
        </w:tc>
        <w:tc>
          <w:tcPr>
            <w:tcW w:w="809" w:type="dxa"/>
          </w:tcPr>
          <w:p w14:paraId="24B7B5E3">
            <w:pPr>
              <w:jc w:val="center"/>
              <w:rPr>
                <w:rFonts w:hint="eastAsia" w:ascii="宋体" w:hAnsi="宋体" w:cs="宋体"/>
                <w:szCs w:val="21"/>
              </w:rPr>
            </w:pPr>
          </w:p>
        </w:tc>
        <w:tc>
          <w:tcPr>
            <w:tcW w:w="1216" w:type="dxa"/>
            <w:vAlign w:val="center"/>
          </w:tcPr>
          <w:p w14:paraId="36C98B99">
            <w:pPr>
              <w:rPr>
                <w:rFonts w:hint="eastAsia" w:ascii="宋体" w:hAnsi="宋体" w:cs="宋体"/>
                <w:szCs w:val="21"/>
              </w:rPr>
            </w:pPr>
          </w:p>
        </w:tc>
      </w:tr>
      <w:tr w14:paraId="626E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4B9A6DDF">
            <w:pPr>
              <w:jc w:val="center"/>
              <w:rPr>
                <w:rFonts w:hint="eastAsia" w:ascii="宋体" w:hAnsi="宋体" w:cs="宋体"/>
                <w:szCs w:val="21"/>
              </w:rPr>
            </w:pPr>
          </w:p>
        </w:tc>
        <w:tc>
          <w:tcPr>
            <w:tcW w:w="1695" w:type="dxa"/>
            <w:gridSpan w:val="2"/>
            <w:vAlign w:val="center"/>
          </w:tcPr>
          <w:p w14:paraId="7E75E2F1">
            <w:pPr>
              <w:rPr>
                <w:rFonts w:hint="eastAsia" w:ascii="宋体" w:hAnsi="宋体" w:cs="宋体"/>
                <w:szCs w:val="21"/>
              </w:rPr>
            </w:pPr>
          </w:p>
        </w:tc>
        <w:tc>
          <w:tcPr>
            <w:tcW w:w="1487" w:type="dxa"/>
          </w:tcPr>
          <w:p w14:paraId="0B903D14">
            <w:pPr>
              <w:jc w:val="center"/>
              <w:rPr>
                <w:rFonts w:hint="eastAsia" w:ascii="宋体" w:hAnsi="宋体" w:cs="宋体"/>
                <w:szCs w:val="21"/>
              </w:rPr>
            </w:pPr>
          </w:p>
        </w:tc>
        <w:tc>
          <w:tcPr>
            <w:tcW w:w="512" w:type="dxa"/>
            <w:vAlign w:val="center"/>
          </w:tcPr>
          <w:p w14:paraId="3783CFC1">
            <w:pPr>
              <w:jc w:val="center"/>
              <w:rPr>
                <w:rFonts w:hint="eastAsia" w:ascii="宋体" w:hAnsi="宋体" w:cs="宋体"/>
                <w:szCs w:val="21"/>
              </w:rPr>
            </w:pPr>
          </w:p>
        </w:tc>
        <w:tc>
          <w:tcPr>
            <w:tcW w:w="515" w:type="dxa"/>
            <w:vAlign w:val="center"/>
          </w:tcPr>
          <w:p w14:paraId="56C5EE63">
            <w:pPr>
              <w:jc w:val="center"/>
              <w:rPr>
                <w:rFonts w:hint="eastAsia" w:ascii="宋体" w:hAnsi="宋体" w:cs="宋体"/>
                <w:szCs w:val="21"/>
              </w:rPr>
            </w:pPr>
          </w:p>
        </w:tc>
        <w:tc>
          <w:tcPr>
            <w:tcW w:w="849" w:type="dxa"/>
            <w:vAlign w:val="center"/>
          </w:tcPr>
          <w:p w14:paraId="02572C8D">
            <w:pPr>
              <w:jc w:val="center"/>
              <w:rPr>
                <w:rFonts w:hint="eastAsia" w:ascii="宋体" w:hAnsi="宋体" w:cs="宋体"/>
                <w:szCs w:val="21"/>
              </w:rPr>
            </w:pPr>
          </w:p>
        </w:tc>
        <w:tc>
          <w:tcPr>
            <w:tcW w:w="849" w:type="dxa"/>
            <w:vAlign w:val="center"/>
          </w:tcPr>
          <w:p w14:paraId="6554D5DE">
            <w:pPr>
              <w:jc w:val="center"/>
              <w:rPr>
                <w:rFonts w:hint="eastAsia" w:ascii="宋体" w:hAnsi="宋体" w:cs="宋体"/>
                <w:szCs w:val="21"/>
              </w:rPr>
            </w:pPr>
          </w:p>
        </w:tc>
        <w:tc>
          <w:tcPr>
            <w:tcW w:w="809" w:type="dxa"/>
          </w:tcPr>
          <w:p w14:paraId="029D8BC8">
            <w:pPr>
              <w:jc w:val="center"/>
              <w:rPr>
                <w:rFonts w:hint="eastAsia" w:ascii="宋体" w:hAnsi="宋体" w:cs="宋体"/>
                <w:szCs w:val="21"/>
              </w:rPr>
            </w:pPr>
          </w:p>
        </w:tc>
        <w:tc>
          <w:tcPr>
            <w:tcW w:w="1216" w:type="dxa"/>
            <w:vAlign w:val="center"/>
          </w:tcPr>
          <w:p w14:paraId="710831DF">
            <w:pPr>
              <w:rPr>
                <w:rFonts w:hint="eastAsia" w:ascii="宋体" w:hAnsi="宋体" w:cs="宋体"/>
                <w:szCs w:val="21"/>
              </w:rPr>
            </w:pPr>
          </w:p>
        </w:tc>
      </w:tr>
      <w:tr w14:paraId="4225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10" w:type="dxa"/>
            <w:vAlign w:val="center"/>
          </w:tcPr>
          <w:p w14:paraId="3A35D5CF">
            <w:pPr>
              <w:jc w:val="center"/>
              <w:rPr>
                <w:rFonts w:hint="eastAsia" w:ascii="宋体" w:hAnsi="宋体" w:cs="宋体"/>
                <w:szCs w:val="21"/>
              </w:rPr>
            </w:pPr>
            <w:r>
              <w:rPr>
                <w:rFonts w:hint="eastAsia" w:ascii="宋体" w:hAnsi="宋体" w:cs="宋体"/>
                <w:szCs w:val="21"/>
              </w:rPr>
              <w:t>*</w:t>
            </w:r>
          </w:p>
        </w:tc>
        <w:tc>
          <w:tcPr>
            <w:tcW w:w="1695" w:type="dxa"/>
            <w:gridSpan w:val="2"/>
            <w:vAlign w:val="center"/>
          </w:tcPr>
          <w:p w14:paraId="3E582DAE">
            <w:pPr>
              <w:rPr>
                <w:rFonts w:hint="eastAsia" w:ascii="宋体" w:hAnsi="宋体" w:cs="宋体"/>
                <w:spacing w:val="5"/>
                <w:szCs w:val="21"/>
              </w:rPr>
            </w:pPr>
            <w:r>
              <w:rPr>
                <w:rFonts w:hint="eastAsia" w:ascii="宋体" w:hAnsi="宋体" w:cs="宋体"/>
                <w:spacing w:val="5"/>
                <w:szCs w:val="21"/>
              </w:rPr>
              <w:t>********其他</w:t>
            </w:r>
          </w:p>
        </w:tc>
        <w:tc>
          <w:tcPr>
            <w:tcW w:w="1487" w:type="dxa"/>
          </w:tcPr>
          <w:p w14:paraId="57DD50FD">
            <w:pPr>
              <w:jc w:val="center"/>
              <w:rPr>
                <w:rFonts w:hint="eastAsia" w:ascii="宋体" w:hAnsi="宋体" w:cs="宋体"/>
                <w:szCs w:val="21"/>
              </w:rPr>
            </w:pPr>
          </w:p>
        </w:tc>
        <w:tc>
          <w:tcPr>
            <w:tcW w:w="512" w:type="dxa"/>
            <w:vAlign w:val="center"/>
          </w:tcPr>
          <w:p w14:paraId="6078DF83">
            <w:pPr>
              <w:jc w:val="center"/>
              <w:rPr>
                <w:rFonts w:hint="eastAsia" w:ascii="宋体" w:hAnsi="宋体" w:cs="宋体"/>
                <w:szCs w:val="21"/>
              </w:rPr>
            </w:pPr>
          </w:p>
        </w:tc>
        <w:tc>
          <w:tcPr>
            <w:tcW w:w="515" w:type="dxa"/>
            <w:vAlign w:val="center"/>
          </w:tcPr>
          <w:p w14:paraId="18238A1F">
            <w:pPr>
              <w:jc w:val="center"/>
              <w:rPr>
                <w:rFonts w:hint="eastAsia" w:ascii="宋体" w:hAnsi="宋体" w:cs="宋体"/>
                <w:szCs w:val="21"/>
              </w:rPr>
            </w:pPr>
          </w:p>
        </w:tc>
        <w:tc>
          <w:tcPr>
            <w:tcW w:w="849" w:type="dxa"/>
            <w:vAlign w:val="center"/>
          </w:tcPr>
          <w:p w14:paraId="26767F76">
            <w:pPr>
              <w:jc w:val="center"/>
              <w:rPr>
                <w:rFonts w:hint="eastAsia" w:ascii="宋体" w:hAnsi="宋体" w:cs="宋体"/>
                <w:szCs w:val="21"/>
              </w:rPr>
            </w:pPr>
          </w:p>
        </w:tc>
        <w:tc>
          <w:tcPr>
            <w:tcW w:w="849" w:type="dxa"/>
            <w:vAlign w:val="center"/>
          </w:tcPr>
          <w:p w14:paraId="2B048E30">
            <w:pPr>
              <w:jc w:val="center"/>
              <w:rPr>
                <w:rFonts w:hint="eastAsia" w:ascii="宋体" w:hAnsi="宋体" w:cs="宋体"/>
                <w:szCs w:val="21"/>
              </w:rPr>
            </w:pPr>
          </w:p>
        </w:tc>
        <w:tc>
          <w:tcPr>
            <w:tcW w:w="809" w:type="dxa"/>
          </w:tcPr>
          <w:p w14:paraId="68CF8361">
            <w:pPr>
              <w:jc w:val="center"/>
              <w:rPr>
                <w:rFonts w:hint="eastAsia" w:ascii="宋体" w:hAnsi="宋体" w:cs="宋体"/>
                <w:szCs w:val="21"/>
              </w:rPr>
            </w:pPr>
          </w:p>
        </w:tc>
        <w:tc>
          <w:tcPr>
            <w:tcW w:w="1216" w:type="dxa"/>
            <w:vAlign w:val="center"/>
          </w:tcPr>
          <w:p w14:paraId="7BF00610">
            <w:pPr>
              <w:rPr>
                <w:rFonts w:hint="eastAsia" w:ascii="宋体" w:hAnsi="宋体" w:cs="宋体"/>
                <w:szCs w:val="21"/>
              </w:rPr>
            </w:pPr>
          </w:p>
        </w:tc>
      </w:tr>
      <w:tr w14:paraId="6825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331" w:type="dxa"/>
            <w:gridSpan w:val="2"/>
          </w:tcPr>
          <w:p w14:paraId="35CED93C">
            <w:pPr>
              <w:jc w:val="center"/>
              <w:rPr>
                <w:rFonts w:hint="eastAsia" w:ascii="宋体" w:hAnsi="宋体" w:cs="宋体"/>
                <w:szCs w:val="21"/>
              </w:rPr>
            </w:pPr>
          </w:p>
        </w:tc>
        <w:tc>
          <w:tcPr>
            <w:tcW w:w="3588" w:type="dxa"/>
            <w:gridSpan w:val="4"/>
            <w:vAlign w:val="center"/>
          </w:tcPr>
          <w:p w14:paraId="5B709E2C">
            <w:pPr>
              <w:jc w:val="center"/>
              <w:rPr>
                <w:rFonts w:hint="eastAsia" w:ascii="宋体" w:hAnsi="宋体" w:cs="宋体"/>
                <w:szCs w:val="21"/>
              </w:rPr>
            </w:pPr>
            <w:r>
              <w:rPr>
                <w:rFonts w:hint="eastAsia" w:ascii="宋体" w:hAnsi="宋体" w:cs="宋体"/>
                <w:szCs w:val="21"/>
              </w:rPr>
              <w:t>总价合计</w:t>
            </w:r>
          </w:p>
        </w:tc>
        <w:tc>
          <w:tcPr>
            <w:tcW w:w="849" w:type="dxa"/>
            <w:vAlign w:val="center"/>
          </w:tcPr>
          <w:p w14:paraId="0A70F3DA">
            <w:pPr>
              <w:jc w:val="center"/>
              <w:rPr>
                <w:rFonts w:hint="eastAsia" w:ascii="宋体" w:hAnsi="宋体" w:cs="宋体"/>
                <w:szCs w:val="21"/>
              </w:rPr>
            </w:pPr>
          </w:p>
        </w:tc>
        <w:tc>
          <w:tcPr>
            <w:tcW w:w="849" w:type="dxa"/>
            <w:vAlign w:val="center"/>
          </w:tcPr>
          <w:p w14:paraId="2A479AF5">
            <w:pPr>
              <w:jc w:val="center"/>
              <w:rPr>
                <w:rFonts w:hint="eastAsia" w:ascii="宋体" w:hAnsi="宋体" w:cs="宋体"/>
                <w:szCs w:val="21"/>
              </w:rPr>
            </w:pPr>
          </w:p>
        </w:tc>
        <w:tc>
          <w:tcPr>
            <w:tcW w:w="809" w:type="dxa"/>
          </w:tcPr>
          <w:p w14:paraId="18107BA7">
            <w:pPr>
              <w:jc w:val="center"/>
              <w:rPr>
                <w:rFonts w:hint="eastAsia" w:ascii="宋体" w:hAnsi="宋体" w:cs="宋体"/>
                <w:szCs w:val="21"/>
              </w:rPr>
            </w:pPr>
          </w:p>
        </w:tc>
        <w:tc>
          <w:tcPr>
            <w:tcW w:w="1216" w:type="dxa"/>
            <w:vAlign w:val="center"/>
          </w:tcPr>
          <w:p w14:paraId="4B64768E">
            <w:pPr>
              <w:rPr>
                <w:rFonts w:hint="eastAsia" w:ascii="宋体" w:hAnsi="宋体" w:cs="宋体"/>
                <w:szCs w:val="21"/>
              </w:rPr>
            </w:pPr>
          </w:p>
        </w:tc>
      </w:tr>
    </w:tbl>
    <w:p w14:paraId="7022765A">
      <w:pPr>
        <w:spacing w:line="500" w:lineRule="exact"/>
        <w:rPr>
          <w:rFonts w:hint="eastAsia" w:ascii="仿宋" w:hAnsi="仿宋" w:eastAsia="仿宋"/>
          <w:sz w:val="28"/>
          <w:szCs w:val="24"/>
        </w:rPr>
      </w:pPr>
    </w:p>
    <w:p w14:paraId="7523459D">
      <w:pPr>
        <w:widowControl/>
        <w:jc w:val="left"/>
        <w:rPr>
          <w:rFonts w:hint="eastAsia" w:ascii="仿宋" w:hAnsi="仿宋" w:eastAsia="仿宋"/>
          <w:sz w:val="28"/>
          <w:szCs w:val="24"/>
        </w:rPr>
        <w:sectPr>
          <w:pgSz w:w="11905" w:h="16838"/>
          <w:pgMar w:top="1276" w:right="1587" w:bottom="1304" w:left="1587" w:header="567" w:footer="850" w:gutter="0"/>
          <w:pgNumType w:start="1"/>
          <w:cols w:space="0" w:num="1"/>
          <w:docGrid w:linePitch="326" w:charSpace="0"/>
        </w:sectPr>
      </w:pPr>
      <w:r>
        <w:rPr>
          <w:rFonts w:hint="eastAsia" w:ascii="仿宋" w:hAnsi="仿宋" w:eastAsia="仿宋"/>
          <w:sz w:val="28"/>
          <w:szCs w:val="24"/>
        </w:rPr>
        <w:br w:type="page"/>
      </w:r>
    </w:p>
    <w:p w14:paraId="6532A007">
      <w:pPr>
        <w:spacing w:line="500" w:lineRule="exact"/>
        <w:rPr>
          <w:rFonts w:hint="eastAsia" w:ascii="仿宋_GB2312" w:hAnsi="宋体" w:eastAsia="仿宋"/>
          <w:sz w:val="30"/>
          <w:szCs w:val="30"/>
        </w:rPr>
      </w:pPr>
      <w:r>
        <w:rPr>
          <w:rFonts w:hint="eastAsia" w:ascii="仿宋" w:hAnsi="仿宋" w:eastAsia="仿宋"/>
          <w:sz w:val="28"/>
          <w:szCs w:val="24"/>
        </w:rPr>
        <w:t>附件6、</w:t>
      </w:r>
      <w:r>
        <w:rPr>
          <w:rFonts w:hint="eastAsia" w:ascii="仿宋" w:hAnsi="仿宋" w:eastAsia="仿宋"/>
          <w:sz w:val="28"/>
          <w:szCs w:val="28"/>
        </w:rPr>
        <w:t>参考合同条款（具体以签订合同为准）</w:t>
      </w:r>
    </w:p>
    <w:p w14:paraId="62322075">
      <w:pPr>
        <w:widowControl/>
        <w:adjustRightInd w:val="0"/>
        <w:snapToGrid w:val="0"/>
        <w:spacing w:after="200" w:line="360" w:lineRule="auto"/>
        <w:jc w:val="center"/>
        <w:rPr>
          <w:rFonts w:hint="eastAsia" w:ascii="黑体" w:hAnsi="黑体" w:eastAsia="黑体" w:cs="仿宋"/>
          <w:b/>
          <w:kern w:val="0"/>
          <w:sz w:val="52"/>
          <w:szCs w:val="52"/>
        </w:rPr>
      </w:pPr>
      <w:r>
        <w:rPr>
          <w:rFonts w:hint="eastAsia" w:ascii="黑体" w:hAnsi="黑体" w:eastAsia="黑体" w:cs="仿宋"/>
          <w:b/>
          <w:kern w:val="0"/>
          <w:sz w:val="52"/>
          <w:szCs w:val="52"/>
        </w:rPr>
        <w:t>*********有限公司</w:t>
      </w:r>
    </w:p>
    <w:p w14:paraId="38140245">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w:t>
      </w:r>
    </w:p>
    <w:p w14:paraId="72A7DBC4">
      <w:pPr>
        <w:spacing w:line="360" w:lineRule="auto"/>
        <w:jc w:val="center"/>
        <w:rPr>
          <w:rFonts w:hint="eastAsia" w:ascii="黑体" w:hAnsi="黑体" w:eastAsia="黑体"/>
          <w:sz w:val="44"/>
          <w:szCs w:val="44"/>
        </w:rPr>
      </w:pPr>
      <w:r>
        <w:rPr>
          <w:rFonts w:hint="eastAsia" w:ascii="黑体" w:hAnsi="黑体" w:eastAsia="黑体"/>
          <w:sz w:val="44"/>
          <w:szCs w:val="44"/>
        </w:rPr>
        <w:t>商务合同</w:t>
      </w:r>
    </w:p>
    <w:p w14:paraId="2CA6F214">
      <w:pPr>
        <w:spacing w:line="360" w:lineRule="auto"/>
        <w:ind w:firstLine="560" w:firstLineChars="200"/>
        <w:jc w:val="center"/>
        <w:rPr>
          <w:rFonts w:hint="eastAsia" w:asciiTheme="minorEastAsia" w:hAnsiTheme="minorEastAsia"/>
          <w:sz w:val="28"/>
          <w:szCs w:val="28"/>
        </w:rPr>
      </w:pPr>
    </w:p>
    <w:p w14:paraId="1BA1B71E">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（仅供参考）具体以签订合同为准</w:t>
      </w:r>
    </w:p>
    <w:p w14:paraId="25FAC92D">
      <w:pPr>
        <w:spacing w:line="360" w:lineRule="auto"/>
        <w:ind w:firstLine="560" w:firstLineChars="200"/>
        <w:jc w:val="center"/>
        <w:rPr>
          <w:rFonts w:hint="eastAsia" w:asciiTheme="minorEastAsia" w:hAnsiTheme="minorEastAsia"/>
          <w:sz w:val="28"/>
          <w:szCs w:val="28"/>
        </w:rPr>
      </w:pPr>
    </w:p>
    <w:p w14:paraId="21047D92">
      <w:pPr>
        <w:spacing w:line="360" w:lineRule="auto"/>
        <w:ind w:firstLine="560" w:firstLineChars="200"/>
        <w:jc w:val="center"/>
        <w:rPr>
          <w:rFonts w:hint="eastAsia" w:asciiTheme="minorEastAsia" w:hAnsiTheme="minorEastAsia"/>
          <w:sz w:val="28"/>
          <w:szCs w:val="28"/>
        </w:rPr>
      </w:pPr>
    </w:p>
    <w:p w14:paraId="445202AF">
      <w:pPr>
        <w:spacing w:line="360" w:lineRule="auto"/>
        <w:ind w:firstLine="560" w:firstLineChars="200"/>
        <w:jc w:val="center"/>
        <w:rPr>
          <w:rFonts w:hint="eastAsia" w:asciiTheme="minorEastAsia" w:hAnsiTheme="minorEastAsia"/>
          <w:sz w:val="28"/>
          <w:szCs w:val="28"/>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5387"/>
      </w:tblGrid>
      <w:tr w14:paraId="413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079" w:type="dxa"/>
            <w:vAlign w:val="bottom"/>
          </w:tcPr>
          <w:p w14:paraId="193DD9B4">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项目名称</w:t>
            </w:r>
          </w:p>
        </w:tc>
        <w:tc>
          <w:tcPr>
            <w:tcW w:w="5387" w:type="dxa"/>
            <w:vAlign w:val="bottom"/>
          </w:tcPr>
          <w:p w14:paraId="74D597F8">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项目</w:t>
            </w:r>
          </w:p>
        </w:tc>
      </w:tr>
      <w:tr w14:paraId="7642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001E7001">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2ABB80A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r>
      <w:tr w14:paraId="4BD3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666BAF84">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4C39432E">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乙</w:t>
            </w:r>
            <w:r>
              <w:rPr>
                <w:rFonts w:ascii="Arial" w:hAnsi="Arial" w:eastAsia="黑体" w:cs="Arial"/>
                <w:bCs/>
                <w:kern w:val="0"/>
                <w:sz w:val="28"/>
                <w:szCs w:val="28"/>
                <w:lang w:val="en-GB"/>
              </w:rPr>
              <w:t>方）</w:t>
            </w:r>
          </w:p>
        </w:tc>
      </w:tr>
      <w:tr w14:paraId="5EC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79FD4A44">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c>
          <w:tcPr>
            <w:tcW w:w="5387" w:type="dxa"/>
            <w:vAlign w:val="bottom"/>
          </w:tcPr>
          <w:p w14:paraId="0517028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有限公司</w:t>
            </w:r>
          </w:p>
        </w:tc>
      </w:tr>
      <w:tr w14:paraId="762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2AC316FA">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乙方</w:t>
            </w:r>
          </w:p>
        </w:tc>
        <w:tc>
          <w:tcPr>
            <w:tcW w:w="5387" w:type="dxa"/>
            <w:vAlign w:val="bottom"/>
          </w:tcPr>
          <w:p w14:paraId="19553DBA">
            <w:pPr>
              <w:widowControl/>
              <w:adjustRightInd w:val="0"/>
              <w:snapToGrid w:val="0"/>
              <w:spacing w:line="240" w:lineRule="atLeast"/>
              <w:rPr>
                <w:rFonts w:ascii="Arial" w:hAnsi="Arial" w:eastAsia="黑体" w:cs="Arial"/>
                <w:bCs/>
                <w:kern w:val="0"/>
                <w:sz w:val="28"/>
                <w:szCs w:val="28"/>
              </w:rPr>
            </w:pPr>
          </w:p>
        </w:tc>
      </w:tr>
      <w:tr w14:paraId="494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7CF9946">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签订时间</w:t>
            </w:r>
          </w:p>
        </w:tc>
        <w:tc>
          <w:tcPr>
            <w:tcW w:w="5387" w:type="dxa"/>
            <w:vAlign w:val="bottom"/>
          </w:tcPr>
          <w:p w14:paraId="5237FF26">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202</w:t>
            </w:r>
            <w:r>
              <w:rPr>
                <w:rFonts w:hint="eastAsia" w:ascii="Arial" w:hAnsi="Arial" w:eastAsia="黑体" w:cs="Arial"/>
                <w:bCs/>
                <w:kern w:val="0"/>
                <w:sz w:val="28"/>
                <w:szCs w:val="28"/>
                <w:lang w:val="en-GB"/>
              </w:rPr>
              <w:t>5</w:t>
            </w:r>
            <w:r>
              <w:rPr>
                <w:rFonts w:ascii="Arial" w:hAnsi="Arial" w:eastAsia="黑体" w:cs="Arial"/>
                <w:bCs/>
                <w:kern w:val="0"/>
                <w:sz w:val="28"/>
                <w:szCs w:val="28"/>
                <w:lang w:val="en-GB"/>
              </w:rPr>
              <w:t>年</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月</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日</w:t>
            </w:r>
          </w:p>
        </w:tc>
      </w:tr>
      <w:tr w14:paraId="697F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AF73C7F">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签订地点</w:t>
            </w:r>
          </w:p>
        </w:tc>
        <w:tc>
          <w:tcPr>
            <w:tcW w:w="5387" w:type="dxa"/>
            <w:vAlign w:val="bottom"/>
          </w:tcPr>
          <w:p w14:paraId="59D8B40B">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河南省.洛阳市.新安县</w:t>
            </w:r>
          </w:p>
        </w:tc>
      </w:tr>
    </w:tbl>
    <w:p w14:paraId="6D34394E">
      <w:pPr>
        <w:spacing w:line="360" w:lineRule="auto"/>
        <w:ind w:firstLine="560" w:firstLineChars="200"/>
        <w:jc w:val="center"/>
        <w:rPr>
          <w:rFonts w:hint="eastAsia" w:asciiTheme="minorEastAsia" w:hAnsiTheme="minorEastAsia"/>
          <w:sz w:val="28"/>
          <w:szCs w:val="28"/>
        </w:rPr>
      </w:pPr>
    </w:p>
    <w:p w14:paraId="078751E9">
      <w:pPr>
        <w:spacing w:line="360" w:lineRule="auto"/>
        <w:ind w:firstLine="560" w:firstLineChars="200"/>
        <w:jc w:val="center"/>
        <w:rPr>
          <w:rFonts w:hint="eastAsia" w:asciiTheme="minorEastAsia" w:hAnsiTheme="minorEastAsia"/>
          <w:sz w:val="28"/>
          <w:szCs w:val="28"/>
        </w:rPr>
      </w:pPr>
    </w:p>
    <w:p w14:paraId="6D5E12C3">
      <w:pPr>
        <w:spacing w:line="360" w:lineRule="auto"/>
        <w:ind w:firstLine="560" w:firstLineChars="200"/>
        <w:jc w:val="center"/>
        <w:rPr>
          <w:rFonts w:hint="eastAsia" w:asciiTheme="minorEastAsia" w:hAnsiTheme="minorEastAsia"/>
          <w:sz w:val="28"/>
          <w:szCs w:val="28"/>
        </w:rPr>
      </w:pPr>
    </w:p>
    <w:p w14:paraId="4D02A8BE">
      <w:pPr>
        <w:spacing w:line="360" w:lineRule="auto"/>
        <w:ind w:firstLine="560" w:firstLineChars="200"/>
        <w:jc w:val="center"/>
        <w:rPr>
          <w:rFonts w:hint="eastAsia" w:asciiTheme="minorEastAsia" w:hAnsiTheme="minorEastAsia"/>
          <w:sz w:val="28"/>
          <w:szCs w:val="28"/>
        </w:rPr>
      </w:pPr>
    </w:p>
    <w:p w14:paraId="7A105C0F">
      <w:pPr>
        <w:spacing w:line="360" w:lineRule="auto"/>
        <w:ind w:firstLine="560" w:firstLineChars="200"/>
        <w:jc w:val="center"/>
        <w:rPr>
          <w:rFonts w:hint="eastAsia" w:asciiTheme="minorEastAsia" w:hAnsiTheme="minorEastAsia"/>
          <w:sz w:val="28"/>
          <w:szCs w:val="28"/>
        </w:rPr>
      </w:pPr>
    </w:p>
    <w:p w14:paraId="60A89FE3">
      <w:pPr>
        <w:spacing w:line="360" w:lineRule="auto"/>
        <w:ind w:firstLine="560" w:firstLineChars="200"/>
        <w:jc w:val="center"/>
        <w:rPr>
          <w:rFonts w:hint="eastAsia" w:asciiTheme="minorEastAsia" w:hAnsiTheme="minorEastAsia"/>
          <w:sz w:val="28"/>
          <w:szCs w:val="28"/>
        </w:rPr>
      </w:pPr>
    </w:p>
    <w:p w14:paraId="400AABCB">
      <w:pPr>
        <w:spacing w:line="360" w:lineRule="auto"/>
        <w:ind w:firstLine="560" w:firstLineChars="200"/>
        <w:jc w:val="center"/>
        <w:rPr>
          <w:rFonts w:hint="eastAsia" w:asciiTheme="minorEastAsia" w:hAnsiTheme="minorEastAsia"/>
          <w:sz w:val="28"/>
          <w:szCs w:val="28"/>
        </w:rPr>
      </w:pPr>
    </w:p>
    <w:p w14:paraId="12D7F5B2">
      <w:pPr>
        <w:widowControl/>
        <w:snapToGrid w:val="0"/>
        <w:spacing w:line="240" w:lineRule="atLeast"/>
        <w:ind w:firstLine="480" w:firstLineChars="200"/>
        <w:contextualSpacing/>
        <w:rPr>
          <w:rFonts w:hint="eastAsia" w:ascii="仿宋" w:hAnsi="仿宋" w:eastAsia="仿宋"/>
          <w:sz w:val="24"/>
          <w:szCs w:val="24"/>
        </w:rPr>
      </w:pPr>
    </w:p>
    <w:p w14:paraId="211D113B">
      <w:pPr>
        <w:widowControl/>
        <w:snapToGrid w:val="0"/>
        <w:spacing w:line="240" w:lineRule="atLeast"/>
        <w:ind w:firstLine="480" w:firstLineChars="200"/>
        <w:contextualSpacing/>
        <w:rPr>
          <w:rFonts w:hint="eastAsia" w:ascii="仿宋" w:hAnsi="仿宋" w:eastAsia="仿宋"/>
          <w:sz w:val="24"/>
          <w:szCs w:val="24"/>
        </w:rPr>
      </w:pPr>
    </w:p>
    <w:p w14:paraId="746D6CE6">
      <w:pPr>
        <w:widowControl/>
        <w:snapToGrid w:val="0"/>
        <w:spacing w:line="240" w:lineRule="atLeast"/>
        <w:ind w:firstLine="480" w:firstLineChars="200"/>
        <w:contextualSpacing/>
        <w:rPr>
          <w:rFonts w:hint="eastAsia" w:ascii="仿宋" w:hAnsi="仿宋" w:eastAsia="仿宋"/>
          <w:sz w:val="24"/>
          <w:szCs w:val="24"/>
        </w:rPr>
      </w:pPr>
      <w:r>
        <w:rPr>
          <w:rFonts w:hint="eastAsia" w:ascii="仿宋" w:hAnsi="仿宋" w:eastAsia="仿宋"/>
          <w:sz w:val="24"/>
          <w:szCs w:val="24"/>
        </w:rPr>
        <w:t>甲方**************有限公司在***********购买等相关事宜，</w:t>
      </w:r>
      <w:r>
        <w:rPr>
          <w:rFonts w:ascii="Arial" w:hAnsi="Arial" w:eastAsia="仿宋" w:cs="Arial"/>
          <w:sz w:val="24"/>
          <w:szCs w:val="24"/>
        </w:rPr>
        <w:t>依据万基编号为WJWZ-(202</w:t>
      </w:r>
      <w:r>
        <w:rPr>
          <w:rFonts w:hint="eastAsia" w:ascii="Arial" w:hAnsi="Arial" w:eastAsia="仿宋" w:cs="Arial"/>
          <w:sz w:val="24"/>
          <w:szCs w:val="24"/>
        </w:rPr>
        <w:t>5</w:t>
      </w:r>
      <w:r>
        <w:rPr>
          <w:rFonts w:ascii="Arial" w:hAnsi="Arial" w:eastAsia="仿宋" w:cs="Arial"/>
          <w:sz w:val="24"/>
          <w:szCs w:val="24"/>
        </w:rPr>
        <w:t>)</w:t>
      </w:r>
      <w:r>
        <w:rPr>
          <w:rFonts w:hint="eastAsia" w:ascii="Arial" w:hAnsi="Arial" w:eastAsia="仿宋" w:cs="Arial"/>
          <w:sz w:val="24"/>
          <w:szCs w:val="24"/>
          <w:u w:val="single"/>
        </w:rPr>
        <w:t xml:space="preserve">    </w:t>
      </w:r>
      <w:r>
        <w:rPr>
          <w:rFonts w:ascii="Arial" w:hAnsi="Arial" w:eastAsia="仿宋" w:cs="Arial"/>
          <w:sz w:val="24"/>
          <w:szCs w:val="24"/>
        </w:rPr>
        <w:t>的中标通知书</w:t>
      </w:r>
      <w:r>
        <w:rPr>
          <w:rFonts w:hint="eastAsia" w:ascii="仿宋" w:hAnsi="仿宋" w:eastAsia="仿宋"/>
          <w:sz w:val="24"/>
          <w:szCs w:val="24"/>
        </w:rPr>
        <w:t xml:space="preserve">，买卖双方本着平等互利的原则，经友好协商，同意按如下条款签订本合同。  </w:t>
      </w:r>
    </w:p>
    <w:p w14:paraId="24F7B1D0">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4D6D2E96">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条款1定义</w:t>
      </w:r>
    </w:p>
    <w:p w14:paraId="70A108E8">
      <w:pPr>
        <w:pStyle w:val="80"/>
        <w:numPr>
          <w:ilvl w:val="0"/>
          <w:numId w:val="3"/>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“合同”指甲方和乙方（以下简称合同双方）已达成的协议，即由双方签订的合同中的文件，包括技术协议、所有的附件、附录和组成合同部分的所有其它文件。</w:t>
      </w:r>
    </w:p>
    <w:p w14:paraId="6CDF9301">
      <w:pPr>
        <w:pStyle w:val="80"/>
        <w:numPr>
          <w:ilvl w:val="0"/>
          <w:numId w:val="3"/>
        </w:numPr>
        <w:snapToGrid w:val="0"/>
        <w:spacing w:line="240" w:lineRule="atLeast"/>
        <w:ind w:left="567" w:hanging="567" w:firstLineChars="0"/>
        <w:contextualSpacing/>
        <w:jc w:val="left"/>
        <w:rPr>
          <w:rFonts w:hint="eastAsia" w:ascii="仿宋" w:hAnsi="仿宋" w:eastAsia="仿宋"/>
          <w:sz w:val="24"/>
          <w:szCs w:val="24"/>
        </w:rPr>
      </w:pPr>
      <w:r>
        <w:rPr>
          <w:rFonts w:hint="eastAsia" w:ascii="仿宋" w:hAnsi="仿宋" w:eastAsia="仿宋"/>
          <w:sz w:val="24"/>
          <w:szCs w:val="24"/>
        </w:rPr>
        <w:t>“合同价格”指合同规定，在乙方全面正确的履行合同义务时甲方应支付给乙方的款项。</w:t>
      </w:r>
    </w:p>
    <w:p w14:paraId="58178EC3">
      <w:pPr>
        <w:pStyle w:val="80"/>
        <w:numPr>
          <w:ilvl w:val="0"/>
          <w:numId w:val="3"/>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“设备”指乙方按合同要求，须向甲方提供的一切设备、机械、手册及其它技术资料和其它材料。</w:t>
      </w:r>
    </w:p>
    <w:p w14:paraId="1ACCC35B">
      <w:pPr>
        <w:pStyle w:val="80"/>
        <w:numPr>
          <w:ilvl w:val="0"/>
          <w:numId w:val="3"/>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“服务”指合同规定乙方须承担的安装、调试、技术协助、校准、培训以及其它类似的售后服务义务。</w:t>
      </w:r>
    </w:p>
    <w:p w14:paraId="3C6F3ED8">
      <w:pPr>
        <w:pStyle w:val="80"/>
        <w:numPr>
          <w:ilvl w:val="0"/>
          <w:numId w:val="3"/>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“现场”指将要进行设备安装和运转的地点，即：**********。</w:t>
      </w:r>
    </w:p>
    <w:p w14:paraId="12CAB492">
      <w:pPr>
        <w:pStyle w:val="80"/>
        <w:numPr>
          <w:ilvl w:val="0"/>
          <w:numId w:val="3"/>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“验收”指甲方依据合同所附技术协议的规定接受合同设备所依据的程序和条件。</w:t>
      </w:r>
    </w:p>
    <w:p w14:paraId="057DFF30">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4DB3861D">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条款2供货范围</w:t>
      </w:r>
    </w:p>
    <w:p w14:paraId="7B2CF0C8">
      <w:pPr>
        <w:pStyle w:val="80"/>
        <w:numPr>
          <w:ilvl w:val="0"/>
          <w:numId w:val="4"/>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标的物：**************。</w:t>
      </w:r>
    </w:p>
    <w:p w14:paraId="061E183A">
      <w:pPr>
        <w:pStyle w:val="80"/>
        <w:numPr>
          <w:ilvl w:val="0"/>
          <w:numId w:val="4"/>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供货范围：详见技术协议。</w:t>
      </w:r>
    </w:p>
    <w:p w14:paraId="4B942E61">
      <w:pPr>
        <w:pStyle w:val="80"/>
        <w:numPr>
          <w:ilvl w:val="0"/>
          <w:numId w:val="4"/>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数量：详见技术协议。</w:t>
      </w:r>
    </w:p>
    <w:p w14:paraId="0EC419C1">
      <w:pPr>
        <w:pStyle w:val="80"/>
        <w:numPr>
          <w:ilvl w:val="0"/>
          <w:numId w:val="4"/>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供货范围虽然在合同中有表述，但在执行过程中如发现有任何漏项和缺陷，在合同中并未列入而且确实是供货范围内应该有的并且是为了满足合同技术协议对合同设备的性能保证要求所必须的，是国家强制性要求必须的，均应由乙方负责将所缺的设备补上，所发生的费用由乙方负担。</w:t>
      </w:r>
    </w:p>
    <w:p w14:paraId="141CC4C7">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2EB5BA98">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条款3价格（</w:t>
      </w:r>
      <w:r>
        <w:rPr>
          <w:rFonts w:hint="eastAsia" w:ascii="仿宋" w:hAnsi="仿宋" w:eastAsia="仿宋"/>
          <w:b/>
          <w:color w:val="C00000"/>
          <w:sz w:val="28"/>
          <w:szCs w:val="28"/>
        </w:rPr>
        <w:t>报价格式以后附表为准</w:t>
      </w:r>
      <w:r>
        <w:rPr>
          <w:rFonts w:hint="eastAsia" w:ascii="仿宋" w:hAnsi="仿宋" w:eastAsia="仿宋"/>
          <w:b/>
          <w:sz w:val="24"/>
          <w:szCs w:val="24"/>
        </w:rPr>
        <w:t>）</w:t>
      </w:r>
    </w:p>
    <w:p w14:paraId="0CC42AD2">
      <w:pPr>
        <w:pStyle w:val="80"/>
        <w:numPr>
          <w:ilvl w:val="0"/>
          <w:numId w:val="5"/>
        </w:numPr>
        <w:spacing w:line="240" w:lineRule="atLeast"/>
        <w:ind w:left="567" w:hanging="567" w:firstLineChars="0"/>
        <w:rPr>
          <w:rFonts w:hint="eastAsia" w:asciiTheme="minorEastAsia" w:hAnsiTheme="minorEastAsia"/>
          <w:sz w:val="24"/>
          <w:szCs w:val="24"/>
        </w:rPr>
      </w:pPr>
      <w:r>
        <w:rPr>
          <w:rFonts w:hint="eastAsia" w:ascii="仿宋" w:hAnsi="仿宋" w:eastAsia="仿宋"/>
          <w:sz w:val="24"/>
          <w:szCs w:val="24"/>
        </w:rPr>
        <w:t>设备名称、型号及价格</w:t>
      </w:r>
      <w:r>
        <w:rPr>
          <w:rFonts w:hint="eastAsia" w:asciiTheme="minorEastAsia" w:hAnsiTheme="minorEastAsia"/>
          <w:sz w:val="24"/>
          <w:szCs w:val="24"/>
        </w:rPr>
        <w:t>：</w:t>
      </w:r>
    </w:p>
    <w:tbl>
      <w:tblPr>
        <w:tblStyle w:val="51"/>
        <w:tblW w:w="9027" w:type="dxa"/>
        <w:jc w:val="center"/>
        <w:tblLayout w:type="autofit"/>
        <w:tblCellMar>
          <w:top w:w="0" w:type="dxa"/>
          <w:left w:w="108" w:type="dxa"/>
          <w:bottom w:w="0" w:type="dxa"/>
          <w:right w:w="108" w:type="dxa"/>
        </w:tblCellMar>
      </w:tblPr>
      <w:tblGrid>
        <w:gridCol w:w="835"/>
        <w:gridCol w:w="3129"/>
        <w:gridCol w:w="709"/>
        <w:gridCol w:w="709"/>
        <w:gridCol w:w="1143"/>
        <w:gridCol w:w="1143"/>
        <w:gridCol w:w="1359"/>
      </w:tblGrid>
      <w:tr w14:paraId="368236AE">
        <w:tblPrEx>
          <w:tblCellMar>
            <w:top w:w="0" w:type="dxa"/>
            <w:left w:w="108" w:type="dxa"/>
            <w:bottom w:w="0" w:type="dxa"/>
            <w:right w:w="108" w:type="dxa"/>
          </w:tblCellMar>
        </w:tblPrEx>
        <w:trPr>
          <w:trHeight w:val="416" w:hRule="atLeast"/>
          <w:jc w:val="center"/>
        </w:trPr>
        <w:tc>
          <w:tcPr>
            <w:tcW w:w="9027"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14:paraId="5CAB6658">
            <w:pPr>
              <w:widowControl/>
              <w:spacing w:line="240" w:lineRule="atLeast"/>
              <w:contextualSpacing/>
              <w:jc w:val="center"/>
              <w:rPr>
                <w:rFonts w:hint="eastAsia" w:ascii="黑体" w:hAnsi="黑体" w:eastAsia="黑体" w:cs="宋体"/>
                <w:kern w:val="0"/>
                <w:sz w:val="24"/>
                <w:szCs w:val="24"/>
              </w:rPr>
            </w:pPr>
            <w:r>
              <w:rPr>
                <w:rFonts w:hint="eastAsia" w:ascii="黑体" w:hAnsi="黑体" w:eastAsia="黑体" w:cs="宋体"/>
                <w:kern w:val="0"/>
                <w:sz w:val="24"/>
                <w:szCs w:val="24"/>
              </w:rPr>
              <w:t xml:space="preserve">************项价格表  </w:t>
            </w:r>
          </w:p>
        </w:tc>
      </w:tr>
      <w:tr w14:paraId="63F80E18">
        <w:tblPrEx>
          <w:tblCellMar>
            <w:top w:w="0" w:type="dxa"/>
            <w:left w:w="108" w:type="dxa"/>
            <w:bottom w:w="0" w:type="dxa"/>
            <w:right w:w="108" w:type="dxa"/>
          </w:tblCellMar>
        </w:tblPrEx>
        <w:trPr>
          <w:trHeight w:val="48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center"/>
          </w:tcPr>
          <w:p w14:paraId="3C787C97">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序号</w:t>
            </w:r>
          </w:p>
        </w:tc>
        <w:tc>
          <w:tcPr>
            <w:tcW w:w="3129" w:type="dxa"/>
            <w:tcBorders>
              <w:top w:val="nil"/>
              <w:left w:val="nil"/>
              <w:bottom w:val="single" w:color="auto" w:sz="4" w:space="0"/>
              <w:right w:val="single" w:color="auto" w:sz="4" w:space="0"/>
            </w:tcBorders>
            <w:shd w:val="clear" w:color="auto" w:fill="auto"/>
            <w:noWrap/>
            <w:vAlign w:val="center"/>
          </w:tcPr>
          <w:p w14:paraId="75507C5A">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设备名称</w:t>
            </w:r>
          </w:p>
        </w:tc>
        <w:tc>
          <w:tcPr>
            <w:tcW w:w="709" w:type="dxa"/>
            <w:tcBorders>
              <w:top w:val="nil"/>
              <w:left w:val="nil"/>
              <w:bottom w:val="single" w:color="auto" w:sz="4" w:space="0"/>
              <w:right w:val="single" w:color="auto" w:sz="4" w:space="0"/>
            </w:tcBorders>
            <w:shd w:val="clear" w:color="auto" w:fill="auto"/>
            <w:vAlign w:val="center"/>
          </w:tcPr>
          <w:p w14:paraId="2BBF7E2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数量</w:t>
            </w:r>
          </w:p>
        </w:tc>
        <w:tc>
          <w:tcPr>
            <w:tcW w:w="709" w:type="dxa"/>
            <w:tcBorders>
              <w:top w:val="nil"/>
              <w:left w:val="nil"/>
              <w:bottom w:val="single" w:color="auto" w:sz="4" w:space="0"/>
              <w:right w:val="single" w:color="auto" w:sz="4" w:space="0"/>
            </w:tcBorders>
            <w:shd w:val="clear" w:color="auto" w:fill="auto"/>
            <w:vAlign w:val="center"/>
          </w:tcPr>
          <w:p w14:paraId="6C58A3B8">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单位</w:t>
            </w:r>
          </w:p>
        </w:tc>
        <w:tc>
          <w:tcPr>
            <w:tcW w:w="1143" w:type="dxa"/>
            <w:tcBorders>
              <w:top w:val="nil"/>
              <w:left w:val="nil"/>
              <w:bottom w:val="single" w:color="auto" w:sz="4" w:space="0"/>
              <w:right w:val="single" w:color="auto" w:sz="4" w:space="0"/>
            </w:tcBorders>
            <w:shd w:val="clear" w:color="auto" w:fill="auto"/>
            <w:vAlign w:val="center"/>
          </w:tcPr>
          <w:p w14:paraId="1F8DB119">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143" w:type="dxa"/>
            <w:tcBorders>
              <w:top w:val="nil"/>
              <w:left w:val="nil"/>
              <w:bottom w:val="single" w:color="auto" w:sz="4" w:space="0"/>
              <w:right w:val="single" w:color="auto" w:sz="4" w:space="0"/>
            </w:tcBorders>
            <w:shd w:val="clear" w:color="auto" w:fill="auto"/>
            <w:vAlign w:val="center"/>
          </w:tcPr>
          <w:p w14:paraId="19CFCB40">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总价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359" w:type="dxa"/>
            <w:tcBorders>
              <w:top w:val="nil"/>
              <w:left w:val="nil"/>
              <w:bottom w:val="single" w:color="auto" w:sz="4" w:space="0"/>
              <w:right w:val="single" w:color="auto" w:sz="4" w:space="0"/>
            </w:tcBorders>
            <w:shd w:val="clear" w:color="auto" w:fill="auto"/>
            <w:noWrap/>
            <w:vAlign w:val="center"/>
          </w:tcPr>
          <w:p w14:paraId="53B50E72">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备注</w:t>
            </w:r>
          </w:p>
        </w:tc>
      </w:tr>
      <w:tr w14:paraId="7DB44DA4">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3E419106">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w:t>
            </w:r>
          </w:p>
        </w:tc>
        <w:tc>
          <w:tcPr>
            <w:tcW w:w="3129" w:type="dxa"/>
            <w:tcBorders>
              <w:top w:val="nil"/>
              <w:left w:val="nil"/>
              <w:bottom w:val="single" w:color="auto" w:sz="4" w:space="0"/>
              <w:right w:val="single" w:color="auto" w:sz="4" w:space="0"/>
            </w:tcBorders>
            <w:shd w:val="clear" w:color="auto" w:fill="auto"/>
            <w:noWrap/>
            <w:vAlign w:val="bottom"/>
          </w:tcPr>
          <w:p w14:paraId="74657901">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3E015CB">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6B10574">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002B24F6">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1235A18D">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2E8349D5">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5AED49A">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09139A1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1.1</w:t>
            </w:r>
          </w:p>
        </w:tc>
        <w:tc>
          <w:tcPr>
            <w:tcW w:w="3129" w:type="dxa"/>
            <w:tcBorders>
              <w:top w:val="nil"/>
              <w:left w:val="nil"/>
              <w:bottom w:val="single" w:color="auto" w:sz="4" w:space="0"/>
              <w:right w:val="single" w:color="auto" w:sz="4" w:space="0"/>
            </w:tcBorders>
            <w:shd w:val="clear" w:color="auto" w:fill="auto"/>
            <w:noWrap/>
            <w:vAlign w:val="bottom"/>
          </w:tcPr>
          <w:p w14:paraId="500C4F62">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034E3E51">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6BB9697D">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4310C5DE">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75839DF4">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554F7E58">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38D0267">
        <w:tblPrEx>
          <w:tblCellMar>
            <w:top w:w="0" w:type="dxa"/>
            <w:left w:w="108" w:type="dxa"/>
            <w:bottom w:w="0" w:type="dxa"/>
            <w:right w:w="108" w:type="dxa"/>
          </w:tblCellMar>
        </w:tblPrEx>
        <w:trPr>
          <w:trHeight w:val="30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noWrap/>
            <w:vAlign w:val="bottom"/>
          </w:tcPr>
          <w:p w14:paraId="7F1F0197">
            <w:pPr>
              <w:widowControl/>
              <w:spacing w:line="240" w:lineRule="atLeast"/>
              <w:ind w:firstLine="200" w:firstLineChars="100"/>
              <w:contextualSpacing/>
              <w:jc w:val="left"/>
              <w:rPr>
                <w:rFonts w:hint="eastAsia" w:ascii="黑体" w:hAnsi="黑体" w:eastAsia="黑体" w:cs="宋体"/>
                <w:kern w:val="0"/>
                <w:sz w:val="20"/>
              </w:rPr>
            </w:pPr>
            <w:r>
              <w:rPr>
                <w:rFonts w:hint="eastAsia" w:ascii="黑体" w:hAnsi="黑体" w:eastAsia="黑体" w:cs="宋体"/>
                <w:kern w:val="0"/>
                <w:sz w:val="20"/>
              </w:rPr>
              <w:t>不含税金额：￥：万元       税率：13%       税额：万元</w:t>
            </w:r>
          </w:p>
        </w:tc>
      </w:tr>
      <w:tr w14:paraId="6B40F72E">
        <w:tblPrEx>
          <w:tblCellMar>
            <w:top w:w="0" w:type="dxa"/>
            <w:left w:w="108" w:type="dxa"/>
            <w:bottom w:w="0" w:type="dxa"/>
            <w:right w:w="108" w:type="dxa"/>
          </w:tblCellMar>
        </w:tblPrEx>
        <w:trPr>
          <w:trHeight w:val="24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vAlign w:val="center"/>
          </w:tcPr>
          <w:p w14:paraId="33A20FB2">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合同的总价（大写）为：万元整   　￥：万元</w:t>
            </w:r>
          </w:p>
        </w:tc>
      </w:tr>
    </w:tbl>
    <w:p w14:paraId="36577F8C">
      <w:pPr>
        <w:pStyle w:val="80"/>
        <w:numPr>
          <w:ilvl w:val="0"/>
          <w:numId w:val="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价格包括合同设备费（含备品备件、专用工具）、设计费、技术资料费、技术服务费，安装费、调试费、培训费、质保期内的维护保养费、设备的包装费、装车费、卸车费、运输费、运输保险费、各种杂费、税费及与本合同有关的所有费用。</w:t>
      </w:r>
    </w:p>
    <w:p w14:paraId="55C4DD9F">
      <w:pPr>
        <w:pStyle w:val="80"/>
        <w:numPr>
          <w:ilvl w:val="0"/>
          <w:numId w:val="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上述合同价格为乙方将合同设备运输到甲方工地、并安装调试合格交付甲方使用的最终价格，不因任何因素的改变而改变。</w:t>
      </w:r>
    </w:p>
    <w:p w14:paraId="7C770CB4">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7E2F3D76">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条款4支付</w:t>
      </w:r>
    </w:p>
    <w:p w14:paraId="7555E39B">
      <w:pPr>
        <w:pStyle w:val="80"/>
        <w:spacing w:line="240" w:lineRule="atLeast"/>
        <w:ind w:firstLine="0" w:firstLineChars="0"/>
        <w:rPr>
          <w:rFonts w:hint="eastAsia" w:ascii="仿宋" w:hAnsi="仿宋" w:eastAsia="仿宋"/>
          <w:sz w:val="24"/>
          <w:szCs w:val="24"/>
        </w:rPr>
      </w:pPr>
      <w:r>
        <w:rPr>
          <w:rFonts w:hint="eastAsia" w:ascii="仿宋" w:hAnsi="仿宋" w:eastAsia="仿宋"/>
          <w:sz w:val="32"/>
          <w:szCs w:val="32"/>
        </w:rPr>
        <w:t>4、</w:t>
      </w:r>
      <w:r>
        <w:rPr>
          <w:rFonts w:hint="eastAsia" w:ascii="仿宋" w:hAnsi="仿宋" w:eastAsia="仿宋"/>
          <w:sz w:val="24"/>
          <w:szCs w:val="24"/>
        </w:rPr>
        <w:t>付款方式：银行承兑或现汇</w:t>
      </w:r>
    </w:p>
    <w:p w14:paraId="7B09A85E">
      <w:pPr>
        <w:pStyle w:val="80"/>
        <w:numPr>
          <w:ilvl w:val="1"/>
          <w:numId w:val="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合同货物全部到达甲方安装现场并经甲方根据技术协议的要求对合同设备的外观，数量，规格型号，及附带的说明书合格证等初步验收合格，由甲方出具到货检验证书。</w:t>
      </w:r>
    </w:p>
    <w:p w14:paraId="3C8D101D">
      <w:pPr>
        <w:pStyle w:val="80"/>
        <w:numPr>
          <w:ilvl w:val="1"/>
          <w:numId w:val="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乙方向甲方开具合同总价90%的财务收据￥：</w:t>
      </w:r>
      <w:r>
        <w:rPr>
          <w:rFonts w:hint="eastAsia" w:ascii="仿宋" w:hAnsi="仿宋" w:eastAsia="仿宋"/>
          <w:sz w:val="24"/>
          <w:szCs w:val="24"/>
          <w:u w:val="single"/>
        </w:rPr>
        <w:t xml:space="preserve">     </w:t>
      </w:r>
      <w:r>
        <w:rPr>
          <w:rFonts w:hint="eastAsia" w:ascii="仿宋" w:hAnsi="仿宋" w:eastAsia="仿宋"/>
          <w:sz w:val="24"/>
          <w:szCs w:val="24"/>
        </w:rPr>
        <w:t>万元（大写人民币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0AB00D04">
      <w:pPr>
        <w:pStyle w:val="80"/>
        <w:numPr>
          <w:ilvl w:val="1"/>
          <w:numId w:val="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各项技术资料，检验合格证书等证件全部移交给甲方。</w:t>
      </w:r>
    </w:p>
    <w:p w14:paraId="1EF01C2F">
      <w:pPr>
        <w:pStyle w:val="80"/>
        <w:numPr>
          <w:ilvl w:val="1"/>
          <w:numId w:val="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设备安装调试结束，设备运行正常满一个月，双方办理设备性能考核验收手续，且达到技术协议标准要求，待最终验收合格后由甲方出具验收合格报告。</w:t>
      </w:r>
    </w:p>
    <w:p w14:paraId="7C7606B8">
      <w:pPr>
        <w:pStyle w:val="80"/>
        <w:numPr>
          <w:ilvl w:val="1"/>
          <w:numId w:val="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出具验收报告后，乙方向甲方开具合同总价90%的增值税专用发票（税率13%)，甲方在90个工作日内支付合同总价的90%货款。</w:t>
      </w:r>
    </w:p>
    <w:p w14:paraId="56ECC444">
      <w:pPr>
        <w:pStyle w:val="80"/>
        <w:spacing w:line="240" w:lineRule="atLeast"/>
        <w:ind w:firstLine="240" w:firstLineChars="100"/>
        <w:rPr>
          <w:rFonts w:hint="eastAsia" w:ascii="仿宋" w:hAnsi="仿宋" w:eastAsia="仿宋"/>
          <w:sz w:val="24"/>
          <w:szCs w:val="24"/>
        </w:rPr>
      </w:pPr>
      <w:r>
        <w:rPr>
          <w:rFonts w:hint="eastAsia" w:ascii="仿宋" w:hAnsi="仿宋" w:eastAsia="仿宋"/>
          <w:sz w:val="24"/>
          <w:szCs w:val="24"/>
        </w:rPr>
        <w:t>4.6. 质保金：合同设备总价的10%，即￥：万元（大写人民币</w:t>
      </w:r>
      <w:r>
        <w:rPr>
          <w:rFonts w:hint="eastAsia" w:ascii="仿宋" w:hAnsi="仿宋" w:eastAsia="仿宋"/>
          <w:sz w:val="24"/>
          <w:szCs w:val="24"/>
          <w:u w:val="single"/>
        </w:rPr>
        <w:t xml:space="preserve">   </w:t>
      </w:r>
      <w:r>
        <w:rPr>
          <w:rFonts w:hint="eastAsia" w:ascii="仿宋" w:hAnsi="仿宋" w:eastAsia="仿宋"/>
          <w:sz w:val="24"/>
          <w:szCs w:val="24"/>
        </w:rPr>
        <w:t xml:space="preserve">万元整）在具备下列所有条件后甲方向乙方支付：   </w:t>
      </w:r>
    </w:p>
    <w:p w14:paraId="5432559F">
      <w:pPr>
        <w:pStyle w:val="80"/>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4.6.1.从设备安装调试合格试运行结束，甲方出具验收合格报告之日起稳定运行满12个月。</w:t>
      </w:r>
    </w:p>
    <w:p w14:paraId="2A0B8456">
      <w:pPr>
        <w:pStyle w:val="80"/>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4.6.2.设备运行状况和性能指标达到买卖双方签定的技术协议的要求，由双方验收人员签订设备的最终验收报告。</w:t>
      </w:r>
    </w:p>
    <w:p w14:paraId="16E0AD56">
      <w:pPr>
        <w:pStyle w:val="80"/>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4.6.3.乙方向甲方开具合同总价10%的财务收据（大写人民币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44668AC4">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2CE668D5">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条款5包装、运输及交货时间、地点、设备所有权转移</w:t>
      </w:r>
    </w:p>
    <w:p w14:paraId="1E506EE0">
      <w:pPr>
        <w:pStyle w:val="80"/>
        <w:numPr>
          <w:ilvl w:val="0"/>
          <w:numId w:val="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包装</w:t>
      </w:r>
    </w:p>
    <w:p w14:paraId="0EBA4365">
      <w:pPr>
        <w:pStyle w:val="80"/>
        <w:numPr>
          <w:ilvl w:val="0"/>
          <w:numId w:val="8"/>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乙方应依照设备的不同形状和特殊性质，将提供的全部设备须采用相应标准的保护措施进行包装，以确保设备安全运抵现场。乙方应承担其包装或其防护措施不到位而引起设备锈蚀、损坏和丢失的任何损失的责任和费用。每件包装应附有详细装箱单和质量合格证书各二套，一套原件在包装箱里，另一套复印件直接交付给甲方。</w:t>
      </w:r>
    </w:p>
    <w:p w14:paraId="1AB84020">
      <w:pPr>
        <w:pStyle w:val="80"/>
        <w:numPr>
          <w:ilvl w:val="0"/>
          <w:numId w:val="8"/>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包装箱上应有明显的印刷有“轻放”、“勿倒置”和“防雨”等字样。箱内的零散随机部件将由乙方贴上标签，注明合同号、主机名称、部件名称及位置号，部件在安装图上的编码。</w:t>
      </w:r>
    </w:p>
    <w:p w14:paraId="2980DB93">
      <w:pPr>
        <w:pStyle w:val="80"/>
        <w:numPr>
          <w:ilvl w:val="0"/>
          <w:numId w:val="8"/>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包装物不回收。</w:t>
      </w:r>
    </w:p>
    <w:p w14:paraId="4F7468F9">
      <w:pPr>
        <w:pStyle w:val="80"/>
        <w:numPr>
          <w:ilvl w:val="0"/>
          <w:numId w:val="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运输</w:t>
      </w:r>
    </w:p>
    <w:p w14:paraId="3FEBF8BD">
      <w:pPr>
        <w:pStyle w:val="80"/>
        <w:numPr>
          <w:ilvl w:val="0"/>
          <w:numId w:val="9"/>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运输方式：乙方采用合适的运输方式将合同设备发运至甲方现场。（发货前5天书面通知甲方）。</w:t>
      </w:r>
    </w:p>
    <w:p w14:paraId="5AB25428">
      <w:pPr>
        <w:pStyle w:val="80"/>
        <w:numPr>
          <w:ilvl w:val="0"/>
          <w:numId w:val="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交货时间和地点</w:t>
      </w:r>
    </w:p>
    <w:p w14:paraId="06537926">
      <w:pPr>
        <w:pStyle w:val="80"/>
        <w:numPr>
          <w:ilvl w:val="0"/>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交货时间：</w:t>
      </w:r>
      <w:r>
        <w:rPr>
          <w:rFonts w:hint="eastAsia" w:ascii="仿宋" w:hAnsi="仿宋" w:eastAsia="仿宋"/>
          <w:bCs/>
          <w:sz w:val="24"/>
          <w:szCs w:val="24"/>
        </w:rPr>
        <w:t>合同生效后</w:t>
      </w:r>
      <w:r>
        <w:rPr>
          <w:rFonts w:ascii="仿宋" w:hAnsi="仿宋" w:eastAsia="仿宋"/>
          <w:bCs/>
          <w:sz w:val="24"/>
          <w:szCs w:val="24"/>
        </w:rPr>
        <w:t>8</w:t>
      </w:r>
      <w:r>
        <w:rPr>
          <w:rFonts w:hint="eastAsia" w:ascii="仿宋" w:hAnsi="仿宋" w:eastAsia="仿宋"/>
          <w:bCs/>
          <w:sz w:val="24"/>
          <w:szCs w:val="24"/>
        </w:rPr>
        <w:t>个月内</w:t>
      </w:r>
      <w:r>
        <w:rPr>
          <w:rFonts w:hint="eastAsia" w:ascii="仿宋" w:hAnsi="仿宋" w:eastAsia="仿宋"/>
          <w:sz w:val="24"/>
          <w:szCs w:val="24"/>
        </w:rPr>
        <w:t>货到甲方现场并安装调试结束达到试运行条件（若甲方要求推迟或提前交货，甲方提前15天书面通知乙方）。</w:t>
      </w:r>
    </w:p>
    <w:p w14:paraId="4B5B4886">
      <w:pPr>
        <w:pStyle w:val="80"/>
        <w:numPr>
          <w:ilvl w:val="0"/>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交货地点：洛阳万基铝钛合金新材料有限公司设备安装现场。</w:t>
      </w:r>
    </w:p>
    <w:p w14:paraId="07FA0C7B">
      <w:pPr>
        <w:pStyle w:val="80"/>
        <w:numPr>
          <w:ilvl w:val="0"/>
          <w:numId w:val="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设备所有权的转移</w:t>
      </w:r>
    </w:p>
    <w:p w14:paraId="1EBD8F52">
      <w:pPr>
        <w:pStyle w:val="80"/>
        <w:numPr>
          <w:ilvl w:val="0"/>
          <w:numId w:val="11"/>
        </w:numPr>
        <w:spacing w:line="240" w:lineRule="atLeast"/>
        <w:ind w:hanging="698" w:firstLineChars="0"/>
        <w:rPr>
          <w:rFonts w:hint="eastAsia" w:ascii="仿宋" w:hAnsi="仿宋" w:eastAsia="仿宋"/>
          <w:sz w:val="24"/>
          <w:szCs w:val="24"/>
        </w:rPr>
      </w:pPr>
      <w:r>
        <w:rPr>
          <w:rFonts w:hint="eastAsia" w:ascii="仿宋" w:hAnsi="仿宋" w:eastAsia="仿宋"/>
          <w:sz w:val="24"/>
          <w:szCs w:val="24"/>
        </w:rPr>
        <w:t>方将合同设备发运至甲方现场后且经过买卖双方共同检验并出具到货检验证书后，设备所有权转移给甲方。</w:t>
      </w:r>
    </w:p>
    <w:p w14:paraId="692FFEF3">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71549906">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条款6安装与调试</w:t>
      </w:r>
    </w:p>
    <w:p w14:paraId="557F78D5">
      <w:pPr>
        <w:pStyle w:val="80"/>
        <w:numPr>
          <w:ilvl w:val="0"/>
          <w:numId w:val="12"/>
        </w:numPr>
        <w:spacing w:line="240" w:lineRule="atLeast"/>
        <w:ind w:left="567" w:hanging="616" w:firstLineChars="0"/>
        <w:rPr>
          <w:rFonts w:hint="eastAsia" w:ascii="仿宋" w:hAnsi="仿宋" w:eastAsia="仿宋"/>
          <w:sz w:val="24"/>
          <w:szCs w:val="24"/>
        </w:rPr>
      </w:pPr>
      <w:r>
        <w:rPr>
          <w:rFonts w:hint="eastAsia" w:ascii="仿宋" w:hAnsi="仿宋" w:eastAsia="仿宋"/>
          <w:sz w:val="24"/>
          <w:szCs w:val="24"/>
        </w:rPr>
        <w:t>乙方负责指派工程技术人员到甲方现场负责对本合同的设备进行安装和调试，并负责对甲方人员进行操作及维修的技术培训。</w:t>
      </w:r>
    </w:p>
    <w:p w14:paraId="164B74C0">
      <w:pPr>
        <w:pStyle w:val="80"/>
        <w:spacing w:line="240" w:lineRule="atLeast"/>
        <w:ind w:left="567" w:firstLine="0" w:firstLineChars="0"/>
        <w:rPr>
          <w:rFonts w:hint="eastAsia" w:ascii="仿宋" w:hAnsi="仿宋" w:eastAsia="仿宋"/>
          <w:sz w:val="24"/>
          <w:szCs w:val="24"/>
        </w:rPr>
      </w:pPr>
    </w:p>
    <w:p w14:paraId="67CA9668">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条款7技术规格及标准</w:t>
      </w:r>
    </w:p>
    <w:p w14:paraId="61F8F782">
      <w:pPr>
        <w:pStyle w:val="80"/>
        <w:numPr>
          <w:ilvl w:val="0"/>
          <w:numId w:val="1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本合同项下所供设备的技术规格按照技术协议执行。</w:t>
      </w:r>
    </w:p>
    <w:p w14:paraId="273C2D5D">
      <w:pPr>
        <w:pStyle w:val="80"/>
        <w:spacing w:line="240" w:lineRule="atLeast"/>
        <w:ind w:left="567" w:firstLine="0" w:firstLineChars="0"/>
        <w:rPr>
          <w:rFonts w:hint="eastAsia" w:ascii="仿宋" w:hAnsi="仿宋" w:eastAsia="仿宋"/>
          <w:sz w:val="24"/>
          <w:szCs w:val="24"/>
        </w:rPr>
      </w:pPr>
    </w:p>
    <w:p w14:paraId="4AA51B48">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条款8质量保证</w:t>
      </w:r>
    </w:p>
    <w:p w14:paraId="3B147279">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应保证其提供的设备是全新的，并符合合同规定的质量、规格和性能要求。乙方应保证其设备在质量保证期内运转良好。在质量保证期内，乙方应对其设备的缺陷而造成的任何故障负责。出现前述情况，乙方应在收到甲方通知后48小时内，免费负责修理或更换有缺陷的零部件或整机，并承担由此所产生的全部费用。若因此给甲方造成损失的，乙方应当赔偿。如乙方技术人员安装、调试失误或乙方所供技术资料、图纸、名称的错误，导致设备出现问题或损坏等，乙方应免费负责修理或更换零部件或整机，并承担由此所产生的全部费用。</w:t>
      </w:r>
    </w:p>
    <w:p w14:paraId="1A785337">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合同项下设备的质量保证期为甲方验收出具合同设备验收合格报告之日起12个月（即质保期满）。在质保期内合同设备非因甲方原因出现的故障，由乙方承担全部责任并免费更换损坏的零部件，质保期相应顺延。</w:t>
      </w:r>
    </w:p>
    <w:p w14:paraId="151D34DB">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所供设备在安装调试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w:t>
      </w:r>
      <w:r>
        <w:rPr>
          <w:rFonts w:hint="eastAsia" w:ascii="仿宋" w:hAnsi="仿宋" w:eastAsia="仿宋"/>
          <w:b/>
          <w:bCs/>
          <w:sz w:val="24"/>
          <w:szCs w:val="24"/>
        </w:rPr>
        <w:t>设备仍无法达到技术规范要求，则由乙方无条件拆除设备拉回，费用自理（若乙方在15日内不进行处理，甲方有权自行处理并不承担任何责任），同时乙方应退还甲方付给乙方的所有货款，且赔偿由此给甲方造成的所有损失，并向甲方支付单台设备总额20%的违约金。</w:t>
      </w:r>
      <w:r>
        <w:rPr>
          <w:rFonts w:hint="eastAsia" w:ascii="仿宋" w:hAnsi="仿宋" w:eastAsia="仿宋"/>
          <w:sz w:val="24"/>
          <w:szCs w:val="24"/>
        </w:rPr>
        <w:t>若经协商甲方同意接受，每一项与技术附件中（性能保证值及考核）指标要求不符的内容，由乙方向甲方支付合同总额的</w:t>
      </w:r>
      <w:r>
        <w:rPr>
          <w:rFonts w:ascii="仿宋" w:hAnsi="仿宋" w:eastAsia="仿宋"/>
          <w:sz w:val="24"/>
          <w:szCs w:val="24"/>
        </w:rPr>
        <w:t>0.5</w:t>
      </w:r>
      <w:r>
        <w:rPr>
          <w:rFonts w:hint="eastAsia" w:ascii="仿宋" w:hAnsi="仿宋" w:eastAsia="仿宋"/>
          <w:sz w:val="24"/>
          <w:szCs w:val="24"/>
        </w:rPr>
        <w:t>%作为违约金。</w:t>
      </w:r>
    </w:p>
    <w:p w14:paraId="1C81812A">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应保证合同设备的使用和制造以及产品销售不会引起任何第三方提出的侵权赔偿，如果出现第三方的针对甲方使用乙方按照本合同提供的合同设备和技术文件侵权诉讼，乙方应负责处理这些问题，甲方应向乙方提供诉讼方面的必要信息，如给甲方造成损失，乙方应全额赔偿甲方的损失。</w:t>
      </w:r>
    </w:p>
    <w:p w14:paraId="2F44E64D">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对合同设备质量实行终身负责制。质保期内，设备出现质量问题，乙方应在接到甲方通知24小时内到达甲方现场负责更换和维修，所有费用由乙方负担。质保期外，设备出现质量问题，若确系设计、原材料或制作工艺原因造成的，乙方应在24小时内免费处理，所需费用由乙方负担。非乙方原因设备出现问题，乙方也应在24小时内协助处理，所需费用由甲方负担。</w:t>
      </w:r>
    </w:p>
    <w:p w14:paraId="0143DABD">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乙方保证合同设备符合本合同《技术协议》的规定。</w:t>
      </w:r>
    </w:p>
    <w:p w14:paraId="232B3212">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乙方应保证所提供的技术资料能够满足合同设备的调试、操作及改造的需要。</w:t>
      </w:r>
    </w:p>
    <w:p w14:paraId="4B2C92DD">
      <w:pPr>
        <w:pStyle w:val="80"/>
        <w:numPr>
          <w:ilvl w:val="0"/>
          <w:numId w:val="1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乙方保证合同所规定的元器件制造厂家及品牌，未经甲方书面同意，不得更改。选购的元器件应符合现行通用标准。外购件必须有相对应的产品合格证书和技术说明书。</w:t>
      </w:r>
    </w:p>
    <w:p w14:paraId="080B01B7">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294D87F9">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条款9检验</w:t>
      </w:r>
    </w:p>
    <w:p w14:paraId="1E6621AB">
      <w:pPr>
        <w:pStyle w:val="80"/>
        <w:numPr>
          <w:ilvl w:val="0"/>
          <w:numId w:val="1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设备发运前，乙方应对设备的质量、规格、性能、数量等进行详细而全面的检验，并出具一份证明设备符合合同规定的合格证书（该合格证书将作为付款的重要依据之一）。但有关质量、规格、性能、数量的检验不应视为最终检验。乙方检验的结果和细节在证书中加以说明，该检验费用由乙方负担。</w:t>
      </w:r>
    </w:p>
    <w:p w14:paraId="4F26582A">
      <w:pPr>
        <w:pStyle w:val="80"/>
        <w:numPr>
          <w:ilvl w:val="0"/>
          <w:numId w:val="1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设备运抵甲方现场后，买卖双方共同对设备的规格、数量和重量进行检验。如发现设备的规格或数量与合同不符，甲方有权在设备运抵现场后90天内，依据检验结果或当地质检部门出具的检验证书向乙方提出索赔。</w:t>
      </w:r>
    </w:p>
    <w:p w14:paraId="0D112232">
      <w:pPr>
        <w:pStyle w:val="80"/>
        <w:numPr>
          <w:ilvl w:val="0"/>
          <w:numId w:val="1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如果设备在条款8规定的质量保证期内证实设备是有缺陷的，包括潜在的缺陷或使用不符合要求的材料，甲方有权向乙方提出索赔。</w:t>
      </w:r>
    </w:p>
    <w:p w14:paraId="655990F5">
      <w:pPr>
        <w:pStyle w:val="80"/>
        <w:numPr>
          <w:ilvl w:val="0"/>
          <w:numId w:val="1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有权在设备制造过程中派人到乙方工厂对合同设备进行监造和检验，乙方应为甲方监造人员提供方便，若发现乙方使用的材料、外购件或制造工艺不符合国家相关标准或技术协议规定的内容，甲方应向乙方提供书面整改通知。乙方应采取措施予以整改，否则为乙方违约，甲方有权拒付货款。同时甲方有权因乙方违约而提出索赔直至终止合同。，甲方不承担由此造成的延期付款责任。</w:t>
      </w:r>
    </w:p>
    <w:p w14:paraId="381AFB12">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7E1EA2E0">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条款10索赔</w:t>
      </w:r>
    </w:p>
    <w:p w14:paraId="785B5432">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对合同设备与合同及技术要求不符负全部责任，乙方应按甲方同意的下述方法解决索赔事宜。免费更换有缺陷的零件、部件和设备，或修理缺陷部分，以达到合同规定的规格、质量和性能。乙方承担上述一切费用和风险并承担甲方遭受的一切损失费用。同时乙方应相应延长被更换设备的质量保证期。</w:t>
      </w:r>
    </w:p>
    <w:p w14:paraId="62BA06DC">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应将索赔要求及时通知乙方，乙方若有异议，在收到索赔通知单14天内提出书面异议。如果乙方在收到索赔通知后14天内未能予以答复，则视为乙方对索赔没有异议。若乙方未能在收到索赔通知后14天内处理索赔事宜，甲方有权从未付款中扣回索赔金额，同时保留进一步要求赔偿的权利。</w:t>
      </w:r>
    </w:p>
    <w:p w14:paraId="15A61A23">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如属乙方设备质量原因导致的任何轻微的损坏，甲方第一时间通知乙方经过双方认可后，甲方可以自行修复，由此产生的所有费用由乙方承担。</w:t>
      </w:r>
    </w:p>
    <w:p w14:paraId="20457FFE">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如属甲方使用不当造成损坏，乙方也有义务予以处理，费用由甲方承担。</w:t>
      </w:r>
    </w:p>
    <w:p w14:paraId="254BED7F">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因乙方设备质量问题造成事故的，所有责任由乙方承担，给甲方造成损失的，乙方应当赔偿。</w:t>
      </w:r>
    </w:p>
    <w:p w14:paraId="6CE2D9C8">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在收到买、卖双方签订的合同后，17日内提供正式设计用图纸文件资料（即技术资料），技术资料一般以邮寄方式递交，每批技术资料交邮后，乙方应在24小时内将技术资料的交邮日期、邮单号、技术资料的详细清单、件数及重量、合同号等以传真或电子邮件通知甲方。</w:t>
      </w:r>
    </w:p>
    <w:p w14:paraId="55C9B3C8">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3602EFAD">
      <w:pPr>
        <w:pStyle w:val="80"/>
        <w:numPr>
          <w:ilvl w:val="0"/>
          <w:numId w:val="1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乙方向甲方开具合同总价税率为13%的增值税专用发票，若出现税务部门不认可的情况，乙方应在接到甲方通知之日起7日内予以更换，否则须向甲方支付单台设备总价20%的违约金，违约金直接从未付款中扣除。</w:t>
      </w:r>
    </w:p>
    <w:p w14:paraId="29B18888">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1ACF843A">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条款11逾期交货</w:t>
      </w:r>
    </w:p>
    <w:p w14:paraId="26106F1A">
      <w:pPr>
        <w:pStyle w:val="80"/>
        <w:numPr>
          <w:ilvl w:val="0"/>
          <w:numId w:val="1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如果乙方未能按合同规定的时间到货并安装调试结束（不可抗力除外），甲方可根据情况决定是否延长交货期。若甲方同意延长交货期，每延迟1天，乙方按合同金额的0.5%向甲方支付违约金。</w:t>
      </w:r>
    </w:p>
    <w:p w14:paraId="5F82FD9A">
      <w:pPr>
        <w:pStyle w:val="80"/>
        <w:numPr>
          <w:ilvl w:val="0"/>
          <w:numId w:val="1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若乙方延迟交货对甲方造成严重影响，或因乙方的延迟导致甲方不需向乙方购买该设备的，甲方有权视具体情况解除部分或全部合同，乙方应向甲方支付合同总金额</w:t>
      </w:r>
      <w:r>
        <w:rPr>
          <w:rFonts w:ascii="仿宋" w:hAnsi="仿宋" w:eastAsia="仿宋"/>
          <w:sz w:val="24"/>
          <w:szCs w:val="24"/>
        </w:rPr>
        <w:t>2</w:t>
      </w:r>
      <w:r>
        <w:rPr>
          <w:rFonts w:hint="eastAsia" w:ascii="仿宋" w:hAnsi="仿宋" w:eastAsia="仿宋"/>
          <w:sz w:val="24"/>
          <w:szCs w:val="24"/>
        </w:rPr>
        <w:t>0%的迟交货违约金，并赔偿由此给甲方造成的损失。</w:t>
      </w:r>
    </w:p>
    <w:p w14:paraId="3F47EFE3">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45CAA35E">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条款12不可抗力</w:t>
      </w:r>
    </w:p>
    <w:p w14:paraId="09EA2711">
      <w:pPr>
        <w:pStyle w:val="80"/>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76E96973">
      <w:pPr>
        <w:pStyle w:val="80"/>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37F5C68">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7808F6E4">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条款13 合同争议解决的方式</w:t>
      </w:r>
    </w:p>
    <w:p w14:paraId="0AF48570">
      <w:pPr>
        <w:pStyle w:val="80"/>
        <w:numPr>
          <w:ilvl w:val="0"/>
          <w:numId w:val="19"/>
        </w:numPr>
        <w:spacing w:line="240" w:lineRule="atLeast"/>
        <w:ind w:left="567" w:hanging="567" w:firstLineChars="0"/>
        <w:jc w:val="left"/>
        <w:rPr>
          <w:rFonts w:hint="eastAsia" w:ascii="仿宋" w:hAnsi="仿宋" w:eastAsia="仿宋"/>
          <w:sz w:val="24"/>
          <w:szCs w:val="24"/>
        </w:rPr>
      </w:pPr>
      <w:r>
        <w:rPr>
          <w:rFonts w:hint="eastAsia" w:ascii="仿宋" w:hAnsi="仿宋" w:eastAsia="仿宋"/>
          <w:sz w:val="24"/>
          <w:szCs w:val="24"/>
        </w:rPr>
        <w:t>凡与本合同有关而引起的一切争议，双方应首先通过友好协商解决，如经协商后仍不能达成协议时，向甲方所在地有管辖权的人民法院提出诉讼。</w:t>
      </w:r>
    </w:p>
    <w:p w14:paraId="61AFCFDC">
      <w:pPr>
        <w:pStyle w:val="80"/>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由上述过程发生的费用除法院判决另有规定外，应由败诉方承担。</w:t>
      </w:r>
    </w:p>
    <w:p w14:paraId="30C61146">
      <w:pPr>
        <w:pStyle w:val="80"/>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在进行法院审理期间，除法院审理的部分外，合同其他部分仍应继续履行。</w:t>
      </w:r>
    </w:p>
    <w:p w14:paraId="399188EA">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1F3E54B9">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条款14适用法律</w:t>
      </w:r>
    </w:p>
    <w:p w14:paraId="3544FD46">
      <w:pPr>
        <w:pStyle w:val="80"/>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本合同应按《中华人民共和国民法典》及相关法律解释。</w:t>
      </w:r>
    </w:p>
    <w:p w14:paraId="32B52585">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6A6D36E8">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条款15通知</w:t>
      </w:r>
    </w:p>
    <w:p w14:paraId="7AE04914">
      <w:pPr>
        <w:pStyle w:val="80"/>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合同任何一方给另一方的通知都应以书面的形式发送，而另一方应以书面形式确认并发送到对方明确的地址。</w:t>
      </w:r>
    </w:p>
    <w:p w14:paraId="09608C90">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57FD335F">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条款16合同生效</w:t>
      </w:r>
    </w:p>
    <w:p w14:paraId="27A8B328">
      <w:pPr>
        <w:pStyle w:val="80"/>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本合同自</w:t>
      </w:r>
      <w:r>
        <w:rPr>
          <w:rFonts w:hint="eastAsia" w:ascii="仿宋" w:hAnsi="仿宋" w:eastAsia="仿宋"/>
          <w:bCs/>
          <w:sz w:val="24"/>
          <w:szCs w:val="24"/>
        </w:rPr>
        <w:t>双方签字盖章之日起收到预付款后生效</w:t>
      </w:r>
      <w:r>
        <w:rPr>
          <w:rFonts w:hint="eastAsia" w:ascii="仿宋" w:hAnsi="仿宋" w:eastAsia="仿宋"/>
          <w:sz w:val="24"/>
          <w:szCs w:val="24"/>
        </w:rPr>
        <w:t>，至双方履行完各自义务索赔完毕时终止。</w:t>
      </w:r>
    </w:p>
    <w:p w14:paraId="0DEDD1BD">
      <w:pPr>
        <w:pStyle w:val="80"/>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本合同一式六份，甲方四份，乙方二份。</w:t>
      </w:r>
    </w:p>
    <w:p w14:paraId="7793E8B8">
      <w:pPr>
        <w:pStyle w:val="80"/>
        <w:snapToGrid w:val="0"/>
        <w:spacing w:line="240" w:lineRule="atLeast"/>
        <w:ind w:left="567" w:firstLine="0" w:firstLineChars="0"/>
        <w:contextualSpacing/>
        <w:jc w:val="center"/>
        <w:outlineLvl w:val="0"/>
        <w:rPr>
          <w:rFonts w:hint="eastAsia" w:ascii="仿宋" w:hAnsi="仿宋" w:eastAsia="仿宋"/>
          <w:b/>
          <w:sz w:val="24"/>
          <w:szCs w:val="24"/>
        </w:rPr>
      </w:pPr>
    </w:p>
    <w:p w14:paraId="0053C95E">
      <w:pPr>
        <w:pStyle w:val="80"/>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 17其它约定事项</w:t>
      </w:r>
    </w:p>
    <w:p w14:paraId="2960CBA1">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合同所附技术协议独立成文，与本合同具有同等法律效力。</w:t>
      </w:r>
    </w:p>
    <w:p w14:paraId="0170A6FA">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未经甲方书面同意，乙方不得将本合同权利义务转让给第三方。</w:t>
      </w:r>
    </w:p>
    <w:p w14:paraId="59C26B42">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甲方根据工程需要可以要求乙方提前交货，但要以书面形式提前通知乙方。</w:t>
      </w:r>
    </w:p>
    <w:p w14:paraId="1299A3CA">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乙方提供的所有有关技术资料一式六份。</w:t>
      </w:r>
    </w:p>
    <w:p w14:paraId="2B2D2F09">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乙方安装、调试人员应遵守甲方现场的各项规章制度并作好自我的安全防护措施，若由于自身原因造成不安全事件发生，一切责任由乙方承担。</w:t>
      </w:r>
    </w:p>
    <w:p w14:paraId="7F723E03">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如果乙方破产或无清偿能力时，甲方可在任何时候以书面通知乙方终止合同。该终止合同将不损害或影响甲方已经采取或将要采取的补救措施的权利。</w:t>
      </w:r>
    </w:p>
    <w:p w14:paraId="5CC1FFCF">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设备所需的外配套件虽然在合同中已有了约定，但在合同执行中若甲方发现这些外配套厂家所供的配套件可能影响合同设备的整体性能时，甲方有权要求更换外配套厂家，乙方不得以此为由要求增加费用。未经甲方同意，乙方不得私自更换外配套厂家。</w:t>
      </w:r>
    </w:p>
    <w:p w14:paraId="197F98D2">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在合同执行过程中，若出现合同与技术协议有冲突的情况，以本合同为执行标准。本合同未涉及的部分，以技术协议为执行标准。</w:t>
      </w:r>
    </w:p>
    <w:p w14:paraId="4F1663FD">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本合同为“交钥匙”合同，乙方负责供货安装、调试至满足合同及技术协议要求。</w:t>
      </w:r>
    </w:p>
    <w:p w14:paraId="2906C77D">
      <w:pPr>
        <w:pStyle w:val="80"/>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未尽事宜，双方可签订补充协议。</w:t>
      </w:r>
    </w:p>
    <w:p w14:paraId="041FD371">
      <w:pPr>
        <w:pStyle w:val="80"/>
        <w:snapToGrid w:val="0"/>
        <w:spacing w:line="240" w:lineRule="atLeast"/>
        <w:ind w:firstLine="0" w:firstLineChars="0"/>
        <w:contextualSpacing/>
        <w:outlineLvl w:val="0"/>
        <w:rPr>
          <w:rFonts w:hint="eastAsia" w:ascii="仿宋" w:hAnsi="仿宋" w:eastAsia="仿宋"/>
          <w:b/>
          <w:sz w:val="24"/>
          <w:szCs w:val="24"/>
        </w:rPr>
      </w:pPr>
    </w:p>
    <w:p w14:paraId="53FF3F09">
      <w:pPr>
        <w:widowControl/>
        <w:spacing w:line="240" w:lineRule="atLeast"/>
        <w:rPr>
          <w:rFonts w:hint="eastAsia" w:ascii="仿宋" w:hAnsi="仿宋" w:eastAsia="仿宋"/>
          <w:b/>
          <w:sz w:val="44"/>
          <w:szCs w:val="44"/>
        </w:rPr>
      </w:pPr>
      <w:r>
        <w:rPr>
          <w:rFonts w:hint="eastAsia" w:ascii="仿宋" w:hAnsi="仿宋" w:eastAsia="仿宋"/>
          <w:b/>
          <w:sz w:val="44"/>
          <w:szCs w:val="44"/>
        </w:rPr>
        <w:t>签字页</w:t>
      </w:r>
    </w:p>
    <w:tbl>
      <w:tblPr>
        <w:tblStyle w:val="8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C24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22223D3">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甲方：</w:t>
            </w:r>
            <w:r>
              <w:rPr>
                <w:rFonts w:hint="eastAsia" w:ascii="Arial" w:hAnsi="Arial" w:eastAsia="黑体" w:cs="Arial"/>
                <w:color w:val="000000"/>
                <w:kern w:val="0"/>
                <w:szCs w:val="21"/>
              </w:rPr>
              <w:t>*******************</w:t>
            </w:r>
            <w:r>
              <w:rPr>
                <w:rFonts w:ascii="Arial" w:hAnsi="Arial" w:eastAsia="黑体" w:cs="Arial"/>
                <w:color w:val="000000"/>
                <w:kern w:val="0"/>
                <w:szCs w:val="21"/>
              </w:rPr>
              <w:t>有限公司</w:t>
            </w:r>
          </w:p>
        </w:tc>
        <w:tc>
          <w:tcPr>
            <w:tcW w:w="4261" w:type="dxa"/>
          </w:tcPr>
          <w:p w14:paraId="72C50A2D">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乙方：</w:t>
            </w:r>
          </w:p>
        </w:tc>
      </w:tr>
      <w:tr w14:paraId="534F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6BEF65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p w14:paraId="46FCEC40">
            <w:pPr>
              <w:spacing w:line="480" w:lineRule="auto"/>
              <w:contextualSpacing/>
              <w:rPr>
                <w:rFonts w:ascii="Arial" w:hAnsi="Arial" w:eastAsia="黑体" w:cs="Arial"/>
                <w:color w:val="000000"/>
                <w:kern w:val="0"/>
                <w:sz w:val="20"/>
                <w:szCs w:val="21"/>
              </w:rPr>
            </w:pPr>
          </w:p>
        </w:tc>
        <w:tc>
          <w:tcPr>
            <w:tcW w:w="4261" w:type="dxa"/>
          </w:tcPr>
          <w:p w14:paraId="7000372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tc>
      </w:tr>
      <w:tr w14:paraId="712E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7465C4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c>
          <w:tcPr>
            <w:tcW w:w="4261" w:type="dxa"/>
          </w:tcPr>
          <w:p w14:paraId="214F103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r>
      <w:tr w14:paraId="1C92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0CB9CC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c>
          <w:tcPr>
            <w:tcW w:w="4261" w:type="dxa"/>
          </w:tcPr>
          <w:p w14:paraId="6E49B43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r>
      <w:tr w14:paraId="0F98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AD1D0F3">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c>
          <w:tcPr>
            <w:tcW w:w="4261" w:type="dxa"/>
          </w:tcPr>
          <w:p w14:paraId="1E49C85B">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r>
      <w:tr w14:paraId="610E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6994D9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c>
          <w:tcPr>
            <w:tcW w:w="4261" w:type="dxa"/>
          </w:tcPr>
          <w:p w14:paraId="5242A05A">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r>
      <w:tr w14:paraId="72D6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0328547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c>
          <w:tcPr>
            <w:tcW w:w="4261" w:type="dxa"/>
            <w:vAlign w:val="center"/>
          </w:tcPr>
          <w:p w14:paraId="3D3D46ED">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r>
      <w:tr w14:paraId="750A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4E7A40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c>
          <w:tcPr>
            <w:tcW w:w="4261" w:type="dxa"/>
          </w:tcPr>
          <w:p w14:paraId="358CC90F">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r>
    </w:tbl>
    <w:p w14:paraId="77474067">
      <w:pPr>
        <w:spacing w:line="520" w:lineRule="exact"/>
        <w:rPr>
          <w:rFonts w:hint="eastAsia" w:ascii="仿宋" w:hAnsi="仿宋" w:eastAsia="仿宋"/>
          <w:sz w:val="28"/>
          <w:szCs w:val="32"/>
        </w:rPr>
      </w:pPr>
    </w:p>
    <w:p w14:paraId="037E9673">
      <w:pPr>
        <w:spacing w:line="520" w:lineRule="exact"/>
        <w:rPr>
          <w:rFonts w:hint="eastAsia" w:ascii="仿宋" w:hAnsi="仿宋" w:eastAsia="仿宋"/>
          <w:sz w:val="28"/>
          <w:szCs w:val="32"/>
        </w:rPr>
      </w:pPr>
    </w:p>
    <w:p w14:paraId="2A5E63F7">
      <w:pPr>
        <w:spacing w:line="520" w:lineRule="exact"/>
        <w:rPr>
          <w:rFonts w:hint="eastAsia" w:ascii="仿宋" w:hAnsi="仿宋" w:eastAsia="仿宋"/>
          <w:sz w:val="28"/>
          <w:szCs w:val="32"/>
        </w:rPr>
      </w:pPr>
      <w:r>
        <w:rPr>
          <w:rFonts w:hint="eastAsia" w:ascii="仿宋" w:hAnsi="仿宋" w:eastAsia="仿宋"/>
          <w:sz w:val="28"/>
          <w:szCs w:val="32"/>
        </w:rPr>
        <w:t>附件7 差异回复：（投标人若对招标要求有异议，可将差异填写在如下表格中，如无差异直接在报价中签字确认）</w:t>
      </w:r>
    </w:p>
    <w:p w14:paraId="022DB853">
      <w:pPr>
        <w:spacing w:line="300" w:lineRule="exact"/>
        <w:rPr>
          <w:rFonts w:hint="eastAsia" w:ascii="仿宋" w:hAnsi="仿宋" w:eastAsia="仿宋"/>
          <w:sz w:val="28"/>
          <w:szCs w:val="32"/>
        </w:rPr>
      </w:pP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936"/>
        <w:gridCol w:w="3561"/>
        <w:gridCol w:w="816"/>
        <w:gridCol w:w="2698"/>
      </w:tblGrid>
      <w:tr w14:paraId="241A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523" w:type="pct"/>
            <w:vMerge w:val="restart"/>
            <w:vAlign w:val="center"/>
          </w:tcPr>
          <w:p w14:paraId="2F050778">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序号</w:t>
            </w:r>
          </w:p>
        </w:tc>
        <w:tc>
          <w:tcPr>
            <w:tcW w:w="2513" w:type="pct"/>
            <w:gridSpan w:val="2"/>
            <w:vAlign w:val="center"/>
          </w:tcPr>
          <w:p w14:paraId="6EFC4CBA">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招标文件</w:t>
            </w:r>
          </w:p>
        </w:tc>
        <w:tc>
          <w:tcPr>
            <w:tcW w:w="1964" w:type="pct"/>
            <w:gridSpan w:val="2"/>
            <w:vAlign w:val="center"/>
          </w:tcPr>
          <w:p w14:paraId="60186D03">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投标文件</w:t>
            </w:r>
          </w:p>
        </w:tc>
      </w:tr>
      <w:tr w14:paraId="163D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3" w:type="pct"/>
            <w:vMerge w:val="continue"/>
            <w:vAlign w:val="center"/>
          </w:tcPr>
          <w:p w14:paraId="36FF2C9E">
            <w:pPr>
              <w:pStyle w:val="28"/>
              <w:spacing w:line="240" w:lineRule="atLeast"/>
              <w:jc w:val="center"/>
              <w:rPr>
                <w:rFonts w:hint="eastAsia" w:hAnsi="宋体" w:cs="宋体"/>
                <w:color w:val="000000"/>
                <w:kern w:val="0"/>
                <w:sz w:val="24"/>
                <w:szCs w:val="24"/>
              </w:rPr>
            </w:pPr>
          </w:p>
        </w:tc>
        <w:tc>
          <w:tcPr>
            <w:tcW w:w="523" w:type="pct"/>
            <w:vAlign w:val="center"/>
          </w:tcPr>
          <w:p w14:paraId="765F724D">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989" w:type="pct"/>
            <w:vAlign w:val="center"/>
          </w:tcPr>
          <w:p w14:paraId="46B0EA0F">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c>
          <w:tcPr>
            <w:tcW w:w="456" w:type="pct"/>
            <w:vAlign w:val="center"/>
          </w:tcPr>
          <w:p w14:paraId="0C10257B">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508" w:type="pct"/>
            <w:vAlign w:val="center"/>
          </w:tcPr>
          <w:p w14:paraId="627AA5F7">
            <w:pPr>
              <w:pStyle w:val="28"/>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r>
      <w:tr w14:paraId="5BD3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5E582F9F">
            <w:pPr>
              <w:pStyle w:val="28"/>
              <w:spacing w:line="240" w:lineRule="atLeast"/>
              <w:rPr>
                <w:rFonts w:hint="eastAsia" w:hAnsi="宋体" w:cs="宋体"/>
                <w:color w:val="000000"/>
                <w:kern w:val="0"/>
                <w:sz w:val="24"/>
                <w:szCs w:val="24"/>
              </w:rPr>
            </w:pPr>
          </w:p>
        </w:tc>
        <w:tc>
          <w:tcPr>
            <w:tcW w:w="523" w:type="pct"/>
            <w:vAlign w:val="center"/>
          </w:tcPr>
          <w:p w14:paraId="7827C64B">
            <w:pPr>
              <w:pStyle w:val="28"/>
              <w:spacing w:line="240" w:lineRule="atLeast"/>
              <w:rPr>
                <w:rFonts w:hint="eastAsia" w:hAnsi="宋体" w:cs="宋体"/>
                <w:color w:val="000000"/>
                <w:kern w:val="0"/>
                <w:sz w:val="24"/>
                <w:szCs w:val="24"/>
              </w:rPr>
            </w:pPr>
          </w:p>
        </w:tc>
        <w:tc>
          <w:tcPr>
            <w:tcW w:w="1989" w:type="pct"/>
            <w:vAlign w:val="center"/>
          </w:tcPr>
          <w:p w14:paraId="28EF1BCA">
            <w:pPr>
              <w:pStyle w:val="28"/>
              <w:spacing w:line="240" w:lineRule="atLeast"/>
              <w:rPr>
                <w:rFonts w:hint="eastAsia" w:hAnsi="宋体" w:cs="宋体"/>
                <w:color w:val="000000"/>
                <w:kern w:val="0"/>
                <w:sz w:val="24"/>
                <w:szCs w:val="24"/>
              </w:rPr>
            </w:pPr>
          </w:p>
        </w:tc>
        <w:tc>
          <w:tcPr>
            <w:tcW w:w="456" w:type="pct"/>
            <w:vAlign w:val="center"/>
          </w:tcPr>
          <w:p w14:paraId="7809E7A0">
            <w:pPr>
              <w:pStyle w:val="28"/>
              <w:spacing w:line="240" w:lineRule="atLeast"/>
              <w:rPr>
                <w:rFonts w:hint="eastAsia" w:hAnsi="宋体" w:cs="宋体"/>
                <w:color w:val="000000"/>
                <w:kern w:val="0"/>
                <w:sz w:val="24"/>
                <w:szCs w:val="24"/>
              </w:rPr>
            </w:pPr>
          </w:p>
        </w:tc>
        <w:tc>
          <w:tcPr>
            <w:tcW w:w="1508" w:type="pct"/>
            <w:vAlign w:val="center"/>
          </w:tcPr>
          <w:p w14:paraId="2F07DDC3">
            <w:pPr>
              <w:pStyle w:val="28"/>
              <w:spacing w:line="240" w:lineRule="atLeast"/>
              <w:rPr>
                <w:rFonts w:hint="eastAsia" w:hAnsi="宋体" w:cs="宋体"/>
                <w:color w:val="000000"/>
                <w:kern w:val="0"/>
                <w:sz w:val="24"/>
                <w:szCs w:val="24"/>
              </w:rPr>
            </w:pPr>
          </w:p>
        </w:tc>
      </w:tr>
      <w:tr w14:paraId="1C55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5340989C">
            <w:pPr>
              <w:pStyle w:val="28"/>
              <w:spacing w:line="240" w:lineRule="atLeast"/>
              <w:rPr>
                <w:rFonts w:hint="eastAsia" w:hAnsi="宋体" w:cs="宋体"/>
                <w:color w:val="000000"/>
                <w:kern w:val="0"/>
                <w:sz w:val="24"/>
                <w:szCs w:val="24"/>
              </w:rPr>
            </w:pPr>
          </w:p>
        </w:tc>
        <w:tc>
          <w:tcPr>
            <w:tcW w:w="523" w:type="pct"/>
            <w:vAlign w:val="center"/>
          </w:tcPr>
          <w:p w14:paraId="702B858A">
            <w:pPr>
              <w:pStyle w:val="28"/>
              <w:spacing w:line="240" w:lineRule="atLeast"/>
              <w:rPr>
                <w:rFonts w:hint="eastAsia" w:hAnsi="宋体" w:cs="宋体"/>
                <w:color w:val="000000"/>
                <w:kern w:val="0"/>
                <w:sz w:val="24"/>
                <w:szCs w:val="24"/>
              </w:rPr>
            </w:pPr>
          </w:p>
        </w:tc>
        <w:tc>
          <w:tcPr>
            <w:tcW w:w="1989" w:type="pct"/>
            <w:vAlign w:val="center"/>
          </w:tcPr>
          <w:p w14:paraId="50AEFC6A">
            <w:pPr>
              <w:pStyle w:val="28"/>
              <w:spacing w:line="240" w:lineRule="atLeast"/>
              <w:rPr>
                <w:rFonts w:hint="eastAsia" w:hAnsi="宋体" w:cs="宋体"/>
                <w:color w:val="000000"/>
                <w:kern w:val="0"/>
                <w:sz w:val="24"/>
                <w:szCs w:val="24"/>
              </w:rPr>
            </w:pPr>
          </w:p>
        </w:tc>
        <w:tc>
          <w:tcPr>
            <w:tcW w:w="456" w:type="pct"/>
            <w:vAlign w:val="center"/>
          </w:tcPr>
          <w:p w14:paraId="64163CF5">
            <w:pPr>
              <w:pStyle w:val="28"/>
              <w:spacing w:line="240" w:lineRule="atLeast"/>
              <w:rPr>
                <w:rFonts w:hint="eastAsia" w:hAnsi="宋体" w:cs="宋体"/>
                <w:color w:val="000000"/>
                <w:kern w:val="0"/>
                <w:sz w:val="24"/>
                <w:szCs w:val="24"/>
              </w:rPr>
            </w:pPr>
          </w:p>
        </w:tc>
        <w:tc>
          <w:tcPr>
            <w:tcW w:w="1508" w:type="pct"/>
            <w:vAlign w:val="center"/>
          </w:tcPr>
          <w:p w14:paraId="442D63A9">
            <w:pPr>
              <w:pStyle w:val="28"/>
              <w:spacing w:line="240" w:lineRule="atLeast"/>
              <w:rPr>
                <w:rFonts w:hint="eastAsia" w:hAnsi="宋体" w:cs="宋体"/>
                <w:color w:val="000000"/>
                <w:kern w:val="0"/>
                <w:sz w:val="24"/>
                <w:szCs w:val="24"/>
              </w:rPr>
            </w:pPr>
          </w:p>
        </w:tc>
      </w:tr>
      <w:tr w14:paraId="006E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0B2D8E85">
            <w:pPr>
              <w:pStyle w:val="28"/>
              <w:spacing w:line="240" w:lineRule="atLeast"/>
              <w:rPr>
                <w:rFonts w:hint="eastAsia" w:hAnsi="宋体" w:cs="宋体"/>
                <w:color w:val="000000"/>
                <w:kern w:val="0"/>
                <w:sz w:val="24"/>
                <w:szCs w:val="24"/>
              </w:rPr>
            </w:pPr>
          </w:p>
        </w:tc>
        <w:tc>
          <w:tcPr>
            <w:tcW w:w="523" w:type="pct"/>
            <w:vAlign w:val="center"/>
          </w:tcPr>
          <w:p w14:paraId="6DC14E45">
            <w:pPr>
              <w:pStyle w:val="28"/>
              <w:spacing w:line="240" w:lineRule="atLeast"/>
              <w:rPr>
                <w:rFonts w:hint="eastAsia" w:hAnsi="宋体" w:cs="宋体"/>
                <w:color w:val="000000"/>
                <w:kern w:val="0"/>
                <w:sz w:val="24"/>
                <w:szCs w:val="24"/>
              </w:rPr>
            </w:pPr>
          </w:p>
        </w:tc>
        <w:tc>
          <w:tcPr>
            <w:tcW w:w="1989" w:type="pct"/>
            <w:vAlign w:val="center"/>
          </w:tcPr>
          <w:p w14:paraId="2BE4919F">
            <w:pPr>
              <w:pStyle w:val="28"/>
              <w:spacing w:line="240" w:lineRule="atLeast"/>
              <w:rPr>
                <w:rFonts w:hint="eastAsia" w:hAnsi="宋体" w:cs="宋体"/>
                <w:color w:val="000000"/>
                <w:kern w:val="0"/>
                <w:sz w:val="24"/>
                <w:szCs w:val="24"/>
              </w:rPr>
            </w:pPr>
          </w:p>
        </w:tc>
        <w:tc>
          <w:tcPr>
            <w:tcW w:w="456" w:type="pct"/>
            <w:vAlign w:val="center"/>
          </w:tcPr>
          <w:p w14:paraId="7AB3519B">
            <w:pPr>
              <w:pStyle w:val="28"/>
              <w:spacing w:line="240" w:lineRule="atLeast"/>
              <w:rPr>
                <w:rFonts w:hint="eastAsia" w:hAnsi="宋体" w:cs="宋体"/>
                <w:color w:val="000000"/>
                <w:kern w:val="0"/>
                <w:sz w:val="24"/>
                <w:szCs w:val="24"/>
              </w:rPr>
            </w:pPr>
          </w:p>
        </w:tc>
        <w:tc>
          <w:tcPr>
            <w:tcW w:w="1508" w:type="pct"/>
            <w:vAlign w:val="center"/>
          </w:tcPr>
          <w:p w14:paraId="4C4EA723">
            <w:pPr>
              <w:pStyle w:val="28"/>
              <w:spacing w:line="240" w:lineRule="atLeast"/>
              <w:rPr>
                <w:rFonts w:hint="eastAsia" w:hAnsi="宋体" w:cs="宋体"/>
                <w:color w:val="000000"/>
                <w:kern w:val="0"/>
                <w:sz w:val="24"/>
                <w:szCs w:val="24"/>
              </w:rPr>
            </w:pPr>
          </w:p>
        </w:tc>
      </w:tr>
    </w:tbl>
    <w:p w14:paraId="71453CB5">
      <w:pPr>
        <w:widowControl/>
        <w:jc w:val="left"/>
        <w:rPr>
          <w:rFonts w:hint="default" w:ascii="仿宋" w:hAnsi="仿宋" w:eastAsia="仿宋"/>
          <w:b/>
          <w:bCs/>
          <w:sz w:val="48"/>
          <w:szCs w:val="48"/>
          <w:lang w:val="en-US" w:eastAsia="zh-CN"/>
        </w:rPr>
      </w:pPr>
      <w:r>
        <w:rPr>
          <w:rFonts w:hint="eastAsia" w:ascii="仿宋" w:hAnsi="仿宋" w:eastAsia="仿宋"/>
          <w:sz w:val="28"/>
          <w:szCs w:val="28"/>
        </w:rPr>
        <w:br w:type="page"/>
      </w:r>
      <w:r>
        <w:rPr>
          <w:rFonts w:hint="eastAsia" w:ascii="仿宋" w:hAnsi="仿宋" w:eastAsia="仿宋"/>
          <w:sz w:val="28"/>
          <w:szCs w:val="28"/>
        </w:rPr>
        <w:t>附件8</w:t>
      </w:r>
      <w:r>
        <w:rPr>
          <w:rFonts w:ascii="仿宋" w:hAnsi="仿宋" w:eastAsia="仿宋"/>
          <w:sz w:val="28"/>
          <w:szCs w:val="28"/>
        </w:rPr>
        <w:t xml:space="preserve"> </w:t>
      </w:r>
      <w:r>
        <w:rPr>
          <w:rFonts w:hint="eastAsia" w:ascii="仿宋" w:hAnsi="仿宋" w:eastAsia="仿宋"/>
          <w:sz w:val="28"/>
          <w:szCs w:val="28"/>
        </w:rPr>
        <w:t>技术要求</w:t>
      </w:r>
      <w:bookmarkStart w:id="4" w:name="_Toc19622"/>
      <w:bookmarkStart w:id="5" w:name="_Toc8648"/>
      <w:bookmarkStart w:id="6" w:name="_Toc171089841"/>
      <w:bookmarkStart w:id="7" w:name="_Toc17596"/>
      <w:r>
        <w:rPr>
          <w:rFonts w:hint="eastAsia" w:ascii="仿宋" w:hAnsi="仿宋" w:eastAsia="仿宋"/>
          <w:sz w:val="28"/>
          <w:szCs w:val="28"/>
          <w:lang w:val="en-US" w:eastAsia="zh-CN"/>
        </w:rPr>
        <w:t xml:space="preserve">  （详见附件）</w:t>
      </w:r>
    </w:p>
    <w:bookmarkEnd w:id="4"/>
    <w:bookmarkEnd w:id="5"/>
    <w:bookmarkEnd w:id="6"/>
    <w:bookmarkEnd w:id="7"/>
    <w:p w14:paraId="78E05492">
      <w:pPr>
        <w:autoSpaceDE w:val="0"/>
        <w:autoSpaceDN w:val="0"/>
        <w:spacing w:line="360" w:lineRule="auto"/>
        <w:jc w:val="center"/>
        <w:rPr>
          <w:rFonts w:hint="eastAsia" w:ascii="黑体" w:hAnsi="黑体" w:eastAsia="黑体"/>
          <w:sz w:val="36"/>
          <w:szCs w:val="36"/>
          <w:highlight w:val="none"/>
        </w:rPr>
      </w:pPr>
      <w:bookmarkStart w:id="8" w:name="_Toc529353959"/>
      <w:bookmarkStart w:id="9" w:name="_Toc501726256"/>
      <w:bookmarkStart w:id="10" w:name="_Toc503324975"/>
      <w:bookmarkStart w:id="11" w:name="_Toc501783226"/>
      <w:bookmarkStart w:id="12" w:name="_Toc487356721"/>
      <w:bookmarkStart w:id="13" w:name="_Toc487358379"/>
    </w:p>
    <w:bookmarkEnd w:id="8"/>
    <w:bookmarkEnd w:id="9"/>
    <w:bookmarkEnd w:id="10"/>
    <w:bookmarkEnd w:id="11"/>
    <w:bookmarkEnd w:id="12"/>
    <w:bookmarkEnd w:id="13"/>
    <w:p w14:paraId="5AABE053">
      <w:pPr>
        <w:spacing w:before="120" w:beforeLines="50" w:line="360" w:lineRule="auto"/>
        <w:rPr>
          <w:rFonts w:hint="eastAsia" w:ascii="Arial" w:hAnsi="Arial" w:eastAsia="宋体" w:cs="Arial"/>
          <w:b/>
          <w:sz w:val="28"/>
          <w:highlight w:val="none"/>
          <w:lang w:val="en-US" w:eastAsia="zh-CN"/>
        </w:rPr>
      </w:pPr>
    </w:p>
    <w:p w14:paraId="01893D68">
      <w:pPr>
        <w:pStyle w:val="28"/>
        <w:spacing w:line="520" w:lineRule="exact"/>
        <w:rPr>
          <w:rFonts w:hint="eastAsia" w:ascii="宋体" w:hAnsi="宋体" w:eastAsia="宋体" w:cs="宋体"/>
          <w:snapToGrid/>
          <w:color w:val="000000"/>
          <w:spacing w:val="0"/>
          <w:kern w:val="0"/>
          <w:sz w:val="24"/>
          <w:szCs w:val="24"/>
          <w:highlight w:val="none"/>
        </w:rPr>
      </w:pPr>
    </w:p>
    <w:p w14:paraId="324E5C1C">
      <w:pPr>
        <w:pStyle w:val="28"/>
        <w:spacing w:line="520" w:lineRule="exact"/>
        <w:rPr>
          <w:rFonts w:hint="eastAsia" w:ascii="宋体" w:hAnsi="宋体" w:eastAsia="宋体" w:cs="宋体"/>
          <w:snapToGrid/>
          <w:color w:val="000000"/>
          <w:spacing w:val="0"/>
          <w:kern w:val="0"/>
          <w:sz w:val="24"/>
          <w:szCs w:val="24"/>
          <w:highlight w:val="none"/>
          <w:lang w:eastAsia="zh-CN"/>
        </w:rPr>
      </w:pPr>
    </w:p>
    <w:p w14:paraId="608E5FDF">
      <w:pPr>
        <w:spacing w:before="120" w:beforeLines="50" w:line="360" w:lineRule="auto"/>
        <w:rPr>
          <w:rFonts w:ascii="Arial" w:hAnsi="Arial" w:cs="Arial"/>
          <w:b/>
          <w:sz w:val="28"/>
        </w:rPr>
      </w:pPr>
    </w:p>
    <w:p w14:paraId="320930B0">
      <w:pPr>
        <w:spacing w:before="120" w:beforeLines="50" w:line="360" w:lineRule="auto"/>
        <w:rPr>
          <w:rFonts w:ascii="Arial" w:hAnsi="Arial" w:cs="Arial"/>
          <w:b/>
          <w:sz w:val="28"/>
        </w:rPr>
      </w:pPr>
      <w:bookmarkStart w:id="14" w:name="_Toc30133"/>
      <w:bookmarkStart w:id="15" w:name="_Toc24707"/>
    </w:p>
    <w:bookmarkEnd w:id="14"/>
    <w:bookmarkEnd w:id="15"/>
    <w:p w14:paraId="259DA9C7">
      <w:pPr>
        <w:autoSpaceDE w:val="0"/>
        <w:autoSpaceDN w:val="0"/>
        <w:spacing w:line="360" w:lineRule="auto"/>
        <w:jc w:val="center"/>
        <w:rPr>
          <w:rFonts w:hint="eastAsia" w:ascii="黑体" w:hAnsi="黑体" w:eastAsia="黑体"/>
          <w:sz w:val="36"/>
          <w:szCs w:val="36"/>
        </w:rPr>
      </w:pPr>
    </w:p>
    <w:sectPr>
      <w:headerReference r:id="rId4" w:type="default"/>
      <w:footerReference r:id="rId5" w:type="default"/>
      <w:pgSz w:w="11905" w:h="16838"/>
      <w:pgMar w:top="1417" w:right="1587" w:bottom="1304" w:left="1587" w:header="567" w:footer="850" w:gutter="0"/>
      <w:pgNumType w:start="1"/>
      <w:cols w:space="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5A066">
    <w:pPr>
      <w:pStyle w:val="33"/>
    </w:pPr>
    <w:r>
      <mc:AlternateContent>
        <mc:Choice Requires="wps">
          <w:drawing>
            <wp:anchor distT="0" distB="0" distL="114300" distR="114300" simplePos="0" relativeHeight="251659264" behindDoc="0" locked="0" layoutInCell="1" allowOverlap="1">
              <wp:simplePos x="0" y="0"/>
              <wp:positionH relativeFrom="margin">
                <wp:posOffset>2815590</wp:posOffset>
              </wp:positionH>
              <wp:positionV relativeFrom="paragraph">
                <wp:posOffset>70485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39AD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21.7pt;margin-top:5.55pt;height:144pt;width:144pt;mso-position-horizontal-relative:margin;mso-wrap-style:none;z-index:251659264;mso-width-relative:page;mso-height-relative:page;" filled="f" stroked="f" coordsize="21600,21600" o:gfxdata="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ZFFx1gAAAAoBAAAPAAAAAAAAAAEAIAAAACIAAABkcnMvZG93bnJldi54bWxQ&#10;SwECFAAUAAAACACHTuJAWlxGWcABAACNAwAADgAAAAAAAAABACAAAAAlAQAAZHJzL2Uyb0RvYy54&#10;bWxQSwUGAAAAAAYABgBZAQAAVwUAAAAA&#10;">
              <v:fill on="f" focussize="0,0"/>
              <v:stroke on="f"/>
              <v:imagedata o:title=""/>
              <o:lock v:ext="edit" aspectratio="f"/>
              <v:textbox inset="0mm,0mm,0mm,0mm" style="mso-fit-shape-to-text:t;">
                <w:txbxContent>
                  <w:p w14:paraId="7939AD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p w14:paraId="04FBF56D">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9597862"/>
    </w:sdtPr>
    <w:sdtContent>
      <w:sdt>
        <w:sdtPr>
          <w:id w:val="1728636285"/>
        </w:sdtPr>
        <w:sdtContent>
          <w:p w14:paraId="618F5705">
            <w:pPr>
              <w:pStyle w:val="3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30A4E0E">
    <w:pPr>
      <w:pStyle w:val="33"/>
    </w:pPr>
  </w:p>
  <w:p w14:paraId="4D6156D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F1F2D">
    <w:pPr>
      <w:pStyle w:val="34"/>
    </w:pPr>
    <w:r>
      <w:rPr>
        <w:rFonts w:hint="eastAsia"/>
      </w:rPr>
      <w:drawing>
        <wp:inline distT="0" distB="0" distL="114300" distR="114300">
          <wp:extent cx="306705" cy="252095"/>
          <wp:effectExtent l="0" t="0" r="17145" b="14605"/>
          <wp:docPr id="8" name="图片 10" descr="透明黑色公司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透明黑色公司Lg"/>
                  <pic:cNvPicPr>
                    <a:picLocks noChangeAspect="1"/>
                  </pic:cNvPicPr>
                </pic:nvPicPr>
                <pic:blipFill>
                  <a:blip r:embed="rId1"/>
                  <a:stretch>
                    <a:fillRect/>
                  </a:stretch>
                </pic:blipFill>
                <pic:spPr>
                  <a:xfrm>
                    <a:off x="0" y="0"/>
                    <a:ext cx="306705" cy="252095"/>
                  </a:xfrm>
                  <a:prstGeom prst="rect">
                    <a:avLst/>
                  </a:prstGeom>
                  <a:noFill/>
                  <a:ln>
                    <a:noFill/>
                  </a:ln>
                </pic:spPr>
              </pic:pic>
            </a:graphicData>
          </a:graphic>
        </wp:inline>
      </w:drawing>
    </w:r>
    <w:r>
      <w:rPr>
        <w:rFonts w:hint="eastAsia"/>
      </w:rPr>
      <w:t xml:space="preserve"> 河南万基新型建材有限公司年产2</w:t>
    </w:r>
    <w:r>
      <w:rPr>
        <w:rFonts w:ascii="Arial" w:hAnsi="Arial" w:cs="Arial"/>
      </w:rPr>
      <w:t>×</w:t>
    </w:r>
    <w:r>
      <w:rPr>
        <w:rFonts w:hint="eastAsia"/>
      </w:rPr>
      <w:t xml:space="preserve">100万方绿色节能建材项目          </w:t>
    </w:r>
    <w:r>
      <w:rPr>
        <w:rFonts w:hint="eastAsia"/>
        <w:lang w:val="en-US" w:eastAsia="zh-CN"/>
      </w:rPr>
      <w:t xml:space="preserve">                         </w:t>
    </w:r>
    <w:r>
      <w:rPr>
        <w:rFonts w:hint="eastAsia"/>
      </w:rPr>
      <w:t xml:space="preserve">     </w:t>
    </w:r>
    <w:r>
      <w:rPr>
        <w:rFonts w:hint="eastAsia"/>
        <w:lang w:val="en-US" w:eastAsia="zh-CN"/>
      </w:rPr>
      <w:t>高低压配电装置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61E1E"/>
    <w:multiLevelType w:val="multilevel"/>
    <w:tmpl w:val="07A61E1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EF3DDA5"/>
    <w:multiLevelType w:val="singleLevel"/>
    <w:tmpl w:val="0EF3DDA5"/>
    <w:lvl w:ilvl="0" w:tentative="0">
      <w:start w:val="1"/>
      <w:numFmt w:val="decimal"/>
      <w:suff w:val="nothing"/>
      <w:lvlText w:val="%1、"/>
      <w:lvlJc w:val="left"/>
    </w:lvl>
  </w:abstractNum>
  <w:abstractNum w:abstractNumId="2">
    <w:nsid w:val="158C4816"/>
    <w:multiLevelType w:val="multilevel"/>
    <w:tmpl w:val="158C4816"/>
    <w:lvl w:ilvl="0" w:tentative="0">
      <w:start w:val="1"/>
      <w:numFmt w:val="decimal"/>
      <w:lvlText w:val="%1."/>
      <w:lvlJc w:val="left"/>
      <w:pPr>
        <w:ind w:left="900" w:hanging="420"/>
      </w:pPr>
      <w:rPr>
        <w:rFonts w:hint="default" w:ascii="Arial" w:hAnsi="Arial"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9452850"/>
    <w:multiLevelType w:val="multilevel"/>
    <w:tmpl w:val="19452850"/>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abstractNum w:abstractNumId="5">
    <w:nsid w:val="30D22150"/>
    <w:multiLevelType w:val="multilevel"/>
    <w:tmpl w:val="30D2215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383C274C"/>
    <w:multiLevelType w:val="multilevel"/>
    <w:tmpl w:val="383C27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397C0E02"/>
    <w:multiLevelType w:val="multilevel"/>
    <w:tmpl w:val="397C0E02"/>
    <w:lvl w:ilvl="0" w:tentative="0">
      <w:start w:val="1"/>
      <w:numFmt w:val="decimal"/>
      <w:lvlText w:val="%1."/>
      <w:lvlJc w:val="left"/>
      <w:pPr>
        <w:ind w:left="900" w:hanging="420"/>
      </w:p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3A3B166E"/>
    <w:multiLevelType w:val="multilevel"/>
    <w:tmpl w:val="3A3B166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42917839"/>
    <w:multiLevelType w:val="multilevel"/>
    <w:tmpl w:val="42917839"/>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4632354C"/>
    <w:multiLevelType w:val="multilevel"/>
    <w:tmpl w:val="463235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475A12E5"/>
    <w:multiLevelType w:val="multilevel"/>
    <w:tmpl w:val="475A12E5"/>
    <w:lvl w:ilvl="0" w:tentative="0">
      <w:start w:val="1"/>
      <w:numFmt w:val="decimal"/>
      <w:lvlText w:val="4.%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80D6B76"/>
    <w:multiLevelType w:val="multilevel"/>
    <w:tmpl w:val="480D6B76"/>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4E927794"/>
    <w:multiLevelType w:val="multilevel"/>
    <w:tmpl w:val="4E927794"/>
    <w:lvl w:ilvl="0" w:tentative="0">
      <w:start w:val="1"/>
      <w:numFmt w:val="decimal"/>
      <w:lvlText w:val="1.%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1D17ED0"/>
    <w:multiLevelType w:val="multilevel"/>
    <w:tmpl w:val="51D17ED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552F2905"/>
    <w:multiLevelType w:val="multilevel"/>
    <w:tmpl w:val="552F2905"/>
    <w:lvl w:ilvl="0" w:tentative="0">
      <w:start w:val="1"/>
      <w:numFmt w:val="decimal"/>
      <w:lvlText w:val="4.%1."/>
      <w:lvlJc w:val="left"/>
      <w:pPr>
        <w:ind w:left="900" w:hanging="420"/>
      </w:pPr>
      <w:rPr>
        <w:rFonts w:hint="eastAsia"/>
      </w:rPr>
    </w:lvl>
    <w:lvl w:ilvl="1" w:tentative="0">
      <w:start w:val="1"/>
      <w:numFmt w:val="decimal"/>
      <w:lvlText w:val="4.%2."/>
      <w:lvlJc w:val="left"/>
      <w:pPr>
        <w:ind w:left="840" w:hanging="420"/>
      </w:pPr>
      <w:rPr>
        <w:rFonts w:hint="default" w:ascii="Arial" w:hAnsi="Arial" w:cs="Arial"/>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AE2622B"/>
    <w:multiLevelType w:val="multilevel"/>
    <w:tmpl w:val="5AE2622B"/>
    <w:lvl w:ilvl="0" w:tentative="0">
      <w:start w:val="1"/>
      <w:numFmt w:val="decimal"/>
      <w:lvlText w:val="2.%1."/>
      <w:lvlJc w:val="left"/>
      <w:pPr>
        <w:ind w:left="84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B0F11D4"/>
    <w:multiLevelType w:val="multilevel"/>
    <w:tmpl w:val="5B0F11D4"/>
    <w:lvl w:ilvl="0" w:tentative="0">
      <w:start w:val="1"/>
      <w:numFmt w:val="decimal"/>
      <w:lvlText w:val="3.%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EC202FF"/>
    <w:multiLevelType w:val="multilevel"/>
    <w:tmpl w:val="5EC202FF"/>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47226A5"/>
    <w:multiLevelType w:val="multilevel"/>
    <w:tmpl w:val="647226A5"/>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6DE07B63"/>
    <w:multiLevelType w:val="multilevel"/>
    <w:tmpl w:val="6DE07B63"/>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6E377B2C"/>
    <w:multiLevelType w:val="multilevel"/>
    <w:tmpl w:val="6E377B2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7F5F3204"/>
    <w:multiLevelType w:val="multilevel"/>
    <w:tmpl w:val="7F5F3204"/>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4"/>
  </w:num>
  <w:num w:numId="2">
    <w:abstractNumId w:val="1"/>
  </w:num>
  <w:num w:numId="3">
    <w:abstractNumId w:val="2"/>
  </w:num>
  <w:num w:numId="4">
    <w:abstractNumId w:val="3"/>
  </w:num>
  <w:num w:numId="5">
    <w:abstractNumId w:val="9"/>
  </w:num>
  <w:num w:numId="6">
    <w:abstractNumId w:val="15"/>
  </w:num>
  <w:num w:numId="7">
    <w:abstractNumId w:val="5"/>
  </w:num>
  <w:num w:numId="8">
    <w:abstractNumId w:val="13"/>
  </w:num>
  <w:num w:numId="9">
    <w:abstractNumId w:val="16"/>
  </w:num>
  <w:num w:numId="10">
    <w:abstractNumId w:val="17"/>
  </w:num>
  <w:num w:numId="11">
    <w:abstractNumId w:val="11"/>
  </w:num>
  <w:num w:numId="12">
    <w:abstractNumId w:val="10"/>
  </w:num>
  <w:num w:numId="13">
    <w:abstractNumId w:val="19"/>
  </w:num>
  <w:num w:numId="14">
    <w:abstractNumId w:val="0"/>
  </w:num>
  <w:num w:numId="15">
    <w:abstractNumId w:val="18"/>
  </w:num>
  <w:num w:numId="16">
    <w:abstractNumId w:val="21"/>
  </w:num>
  <w:num w:numId="17">
    <w:abstractNumId w:val="8"/>
  </w:num>
  <w:num w:numId="18">
    <w:abstractNumId w:val="12"/>
  </w:num>
  <w:num w:numId="19">
    <w:abstractNumId w:val="22"/>
  </w:num>
  <w:num w:numId="20">
    <w:abstractNumId w:val="7"/>
  </w:num>
  <w:num w:numId="21">
    <w:abstractNumId w:val="14"/>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C3"/>
    <w:rsid w:val="000002D1"/>
    <w:rsid w:val="0000054C"/>
    <w:rsid w:val="00014958"/>
    <w:rsid w:val="00017E22"/>
    <w:rsid w:val="00020ADE"/>
    <w:rsid w:val="000255C4"/>
    <w:rsid w:val="00035243"/>
    <w:rsid w:val="00037545"/>
    <w:rsid w:val="00044C86"/>
    <w:rsid w:val="000462EA"/>
    <w:rsid w:val="00063AE7"/>
    <w:rsid w:val="000700F6"/>
    <w:rsid w:val="0007561B"/>
    <w:rsid w:val="000769D9"/>
    <w:rsid w:val="00084A8A"/>
    <w:rsid w:val="00084AF9"/>
    <w:rsid w:val="00087117"/>
    <w:rsid w:val="00092C8A"/>
    <w:rsid w:val="00093456"/>
    <w:rsid w:val="000A430E"/>
    <w:rsid w:val="000A500D"/>
    <w:rsid w:val="000A629A"/>
    <w:rsid w:val="000A63C8"/>
    <w:rsid w:val="000B11F5"/>
    <w:rsid w:val="000B3BC6"/>
    <w:rsid w:val="000B4A68"/>
    <w:rsid w:val="000B5329"/>
    <w:rsid w:val="000C1544"/>
    <w:rsid w:val="000C1A5C"/>
    <w:rsid w:val="000D148B"/>
    <w:rsid w:val="000D533B"/>
    <w:rsid w:val="000E227E"/>
    <w:rsid w:val="000E541B"/>
    <w:rsid w:val="000F09EB"/>
    <w:rsid w:val="00100ADC"/>
    <w:rsid w:val="00111FD6"/>
    <w:rsid w:val="00114267"/>
    <w:rsid w:val="00122D0C"/>
    <w:rsid w:val="00123226"/>
    <w:rsid w:val="001245FC"/>
    <w:rsid w:val="00125F20"/>
    <w:rsid w:val="00135396"/>
    <w:rsid w:val="00136430"/>
    <w:rsid w:val="00143BAB"/>
    <w:rsid w:val="00147F6D"/>
    <w:rsid w:val="00152308"/>
    <w:rsid w:val="00154328"/>
    <w:rsid w:val="0016055D"/>
    <w:rsid w:val="00162169"/>
    <w:rsid w:val="0016550A"/>
    <w:rsid w:val="00172A27"/>
    <w:rsid w:val="00177B74"/>
    <w:rsid w:val="00182FF4"/>
    <w:rsid w:val="001905BF"/>
    <w:rsid w:val="00192F8A"/>
    <w:rsid w:val="001A0605"/>
    <w:rsid w:val="001A2335"/>
    <w:rsid w:val="001B1ED6"/>
    <w:rsid w:val="001B355C"/>
    <w:rsid w:val="001B4416"/>
    <w:rsid w:val="001B464F"/>
    <w:rsid w:val="001B7F79"/>
    <w:rsid w:val="001C149E"/>
    <w:rsid w:val="001C3096"/>
    <w:rsid w:val="001C457B"/>
    <w:rsid w:val="001D19C8"/>
    <w:rsid w:val="001D7473"/>
    <w:rsid w:val="001D75CF"/>
    <w:rsid w:val="001F521D"/>
    <w:rsid w:val="00203B08"/>
    <w:rsid w:val="002212E4"/>
    <w:rsid w:val="00221998"/>
    <w:rsid w:val="00221C74"/>
    <w:rsid w:val="002234D1"/>
    <w:rsid w:val="00225820"/>
    <w:rsid w:val="00226350"/>
    <w:rsid w:val="00234734"/>
    <w:rsid w:val="002414A5"/>
    <w:rsid w:val="002502DE"/>
    <w:rsid w:val="00250DF9"/>
    <w:rsid w:val="00253C49"/>
    <w:rsid w:val="00255C5F"/>
    <w:rsid w:val="00262E70"/>
    <w:rsid w:val="00263566"/>
    <w:rsid w:val="00264FE9"/>
    <w:rsid w:val="00265237"/>
    <w:rsid w:val="00266D97"/>
    <w:rsid w:val="00271100"/>
    <w:rsid w:val="00284C11"/>
    <w:rsid w:val="00286D83"/>
    <w:rsid w:val="00294589"/>
    <w:rsid w:val="00296F40"/>
    <w:rsid w:val="002A15E8"/>
    <w:rsid w:val="002A5FD4"/>
    <w:rsid w:val="002A7572"/>
    <w:rsid w:val="002B3C6F"/>
    <w:rsid w:val="002C13E5"/>
    <w:rsid w:val="002C3BBA"/>
    <w:rsid w:val="002D109A"/>
    <w:rsid w:val="002D1AAA"/>
    <w:rsid w:val="002D25FD"/>
    <w:rsid w:val="002D4581"/>
    <w:rsid w:val="002F446C"/>
    <w:rsid w:val="002F6B88"/>
    <w:rsid w:val="003008A2"/>
    <w:rsid w:val="00304A01"/>
    <w:rsid w:val="0030764D"/>
    <w:rsid w:val="00310108"/>
    <w:rsid w:val="003126F9"/>
    <w:rsid w:val="003132F4"/>
    <w:rsid w:val="00314435"/>
    <w:rsid w:val="00316343"/>
    <w:rsid w:val="00316EC2"/>
    <w:rsid w:val="00317329"/>
    <w:rsid w:val="00320E60"/>
    <w:rsid w:val="00331411"/>
    <w:rsid w:val="00333B55"/>
    <w:rsid w:val="00340DAE"/>
    <w:rsid w:val="0034757B"/>
    <w:rsid w:val="00353F32"/>
    <w:rsid w:val="00361537"/>
    <w:rsid w:val="003638EC"/>
    <w:rsid w:val="00367FE6"/>
    <w:rsid w:val="0037176B"/>
    <w:rsid w:val="003717D7"/>
    <w:rsid w:val="00372471"/>
    <w:rsid w:val="00372777"/>
    <w:rsid w:val="003751FF"/>
    <w:rsid w:val="003829EE"/>
    <w:rsid w:val="0038572F"/>
    <w:rsid w:val="00387328"/>
    <w:rsid w:val="0039510B"/>
    <w:rsid w:val="0039674B"/>
    <w:rsid w:val="0039714B"/>
    <w:rsid w:val="003A0DCC"/>
    <w:rsid w:val="003A3FAE"/>
    <w:rsid w:val="003A4966"/>
    <w:rsid w:val="003B2CBC"/>
    <w:rsid w:val="003B2DF9"/>
    <w:rsid w:val="003C2F57"/>
    <w:rsid w:val="003D6693"/>
    <w:rsid w:val="003E18FD"/>
    <w:rsid w:val="003F2CE9"/>
    <w:rsid w:val="004020C5"/>
    <w:rsid w:val="00407541"/>
    <w:rsid w:val="00420519"/>
    <w:rsid w:val="0043176C"/>
    <w:rsid w:val="00433169"/>
    <w:rsid w:val="00433ADF"/>
    <w:rsid w:val="00435497"/>
    <w:rsid w:val="00436A5A"/>
    <w:rsid w:val="00441FBA"/>
    <w:rsid w:val="00446EA7"/>
    <w:rsid w:val="00457BC3"/>
    <w:rsid w:val="00460296"/>
    <w:rsid w:val="00461DE5"/>
    <w:rsid w:val="00463ACF"/>
    <w:rsid w:val="004648CE"/>
    <w:rsid w:val="00465C67"/>
    <w:rsid w:val="00470A4A"/>
    <w:rsid w:val="004710CA"/>
    <w:rsid w:val="00471A96"/>
    <w:rsid w:val="00473BB6"/>
    <w:rsid w:val="00476A3A"/>
    <w:rsid w:val="00490210"/>
    <w:rsid w:val="004908D8"/>
    <w:rsid w:val="004944CA"/>
    <w:rsid w:val="00495471"/>
    <w:rsid w:val="004B0881"/>
    <w:rsid w:val="004B45F2"/>
    <w:rsid w:val="004C3A41"/>
    <w:rsid w:val="004D2674"/>
    <w:rsid w:val="004D2CAC"/>
    <w:rsid w:val="004D5E99"/>
    <w:rsid w:val="004E1F47"/>
    <w:rsid w:val="004E2187"/>
    <w:rsid w:val="004E3186"/>
    <w:rsid w:val="004E59FB"/>
    <w:rsid w:val="004F0BB3"/>
    <w:rsid w:val="004F367A"/>
    <w:rsid w:val="004F7266"/>
    <w:rsid w:val="00503B03"/>
    <w:rsid w:val="00506F70"/>
    <w:rsid w:val="00512D88"/>
    <w:rsid w:val="00514613"/>
    <w:rsid w:val="00517F36"/>
    <w:rsid w:val="005245C8"/>
    <w:rsid w:val="005250A0"/>
    <w:rsid w:val="00530851"/>
    <w:rsid w:val="005311A5"/>
    <w:rsid w:val="005374D9"/>
    <w:rsid w:val="00537699"/>
    <w:rsid w:val="005410FE"/>
    <w:rsid w:val="00541729"/>
    <w:rsid w:val="00542117"/>
    <w:rsid w:val="00544ADB"/>
    <w:rsid w:val="005451C0"/>
    <w:rsid w:val="005549E6"/>
    <w:rsid w:val="00555326"/>
    <w:rsid w:val="00564C6A"/>
    <w:rsid w:val="005656DA"/>
    <w:rsid w:val="0056634D"/>
    <w:rsid w:val="0057392F"/>
    <w:rsid w:val="0057602D"/>
    <w:rsid w:val="00580C8E"/>
    <w:rsid w:val="00590606"/>
    <w:rsid w:val="005A12BF"/>
    <w:rsid w:val="005A2E0E"/>
    <w:rsid w:val="005A5382"/>
    <w:rsid w:val="005A68F0"/>
    <w:rsid w:val="005B2B65"/>
    <w:rsid w:val="005C0154"/>
    <w:rsid w:val="005C1918"/>
    <w:rsid w:val="005C4626"/>
    <w:rsid w:val="005D0195"/>
    <w:rsid w:val="005D1531"/>
    <w:rsid w:val="005D356E"/>
    <w:rsid w:val="005D5424"/>
    <w:rsid w:val="005D5EC3"/>
    <w:rsid w:val="005D7384"/>
    <w:rsid w:val="005E369F"/>
    <w:rsid w:val="005F0514"/>
    <w:rsid w:val="005F250E"/>
    <w:rsid w:val="005F2C9B"/>
    <w:rsid w:val="005F2EC3"/>
    <w:rsid w:val="0060755D"/>
    <w:rsid w:val="006138F0"/>
    <w:rsid w:val="00621922"/>
    <w:rsid w:val="00631F12"/>
    <w:rsid w:val="00633F47"/>
    <w:rsid w:val="00636282"/>
    <w:rsid w:val="00637B31"/>
    <w:rsid w:val="0064219E"/>
    <w:rsid w:val="00642C82"/>
    <w:rsid w:val="00643A60"/>
    <w:rsid w:val="00643C2B"/>
    <w:rsid w:val="00645C47"/>
    <w:rsid w:val="006505E8"/>
    <w:rsid w:val="00650AE9"/>
    <w:rsid w:val="00651544"/>
    <w:rsid w:val="00656CBF"/>
    <w:rsid w:val="0067632C"/>
    <w:rsid w:val="00676C11"/>
    <w:rsid w:val="006807F0"/>
    <w:rsid w:val="006830DD"/>
    <w:rsid w:val="00683D50"/>
    <w:rsid w:val="00683DB8"/>
    <w:rsid w:val="00686774"/>
    <w:rsid w:val="006915CC"/>
    <w:rsid w:val="006977F5"/>
    <w:rsid w:val="006A16E8"/>
    <w:rsid w:val="006A71E2"/>
    <w:rsid w:val="006C0AD7"/>
    <w:rsid w:val="006C0D2C"/>
    <w:rsid w:val="006C57FC"/>
    <w:rsid w:val="006C5E55"/>
    <w:rsid w:val="006D1C7F"/>
    <w:rsid w:val="006E1A10"/>
    <w:rsid w:val="006E60DD"/>
    <w:rsid w:val="006F3196"/>
    <w:rsid w:val="006F5130"/>
    <w:rsid w:val="006F5F71"/>
    <w:rsid w:val="00704A18"/>
    <w:rsid w:val="00706CAD"/>
    <w:rsid w:val="0071702B"/>
    <w:rsid w:val="00717791"/>
    <w:rsid w:val="00724B8F"/>
    <w:rsid w:val="00727848"/>
    <w:rsid w:val="00734694"/>
    <w:rsid w:val="007538CA"/>
    <w:rsid w:val="007561F1"/>
    <w:rsid w:val="007641DF"/>
    <w:rsid w:val="0076591A"/>
    <w:rsid w:val="00770BF6"/>
    <w:rsid w:val="0077126E"/>
    <w:rsid w:val="00771B23"/>
    <w:rsid w:val="00773286"/>
    <w:rsid w:val="00774FCB"/>
    <w:rsid w:val="00776371"/>
    <w:rsid w:val="00776876"/>
    <w:rsid w:val="00780F4D"/>
    <w:rsid w:val="00782EEE"/>
    <w:rsid w:val="00796ECA"/>
    <w:rsid w:val="007A0B55"/>
    <w:rsid w:val="007B1C1F"/>
    <w:rsid w:val="007B20A3"/>
    <w:rsid w:val="007B426B"/>
    <w:rsid w:val="007B7CD7"/>
    <w:rsid w:val="007C0605"/>
    <w:rsid w:val="007C2853"/>
    <w:rsid w:val="007C393C"/>
    <w:rsid w:val="007C4F09"/>
    <w:rsid w:val="007C7177"/>
    <w:rsid w:val="007C78BA"/>
    <w:rsid w:val="007E4C18"/>
    <w:rsid w:val="007F10B8"/>
    <w:rsid w:val="007F123A"/>
    <w:rsid w:val="007F15C6"/>
    <w:rsid w:val="007F7060"/>
    <w:rsid w:val="00804617"/>
    <w:rsid w:val="008069F5"/>
    <w:rsid w:val="0081003B"/>
    <w:rsid w:val="00810A00"/>
    <w:rsid w:val="00812846"/>
    <w:rsid w:val="00820777"/>
    <w:rsid w:val="00827124"/>
    <w:rsid w:val="00827856"/>
    <w:rsid w:val="00834292"/>
    <w:rsid w:val="00834E46"/>
    <w:rsid w:val="00840153"/>
    <w:rsid w:val="00862764"/>
    <w:rsid w:val="00864515"/>
    <w:rsid w:val="0086527F"/>
    <w:rsid w:val="008711A6"/>
    <w:rsid w:val="008712B6"/>
    <w:rsid w:val="00875A6C"/>
    <w:rsid w:val="00877F0C"/>
    <w:rsid w:val="008961F2"/>
    <w:rsid w:val="008A1037"/>
    <w:rsid w:val="008A30DB"/>
    <w:rsid w:val="008A402C"/>
    <w:rsid w:val="008A4D95"/>
    <w:rsid w:val="008B2B82"/>
    <w:rsid w:val="008B4000"/>
    <w:rsid w:val="008B4059"/>
    <w:rsid w:val="008C032A"/>
    <w:rsid w:val="008C5908"/>
    <w:rsid w:val="008D1E20"/>
    <w:rsid w:val="008F16D6"/>
    <w:rsid w:val="008F46E1"/>
    <w:rsid w:val="009109D9"/>
    <w:rsid w:val="0091258E"/>
    <w:rsid w:val="00915112"/>
    <w:rsid w:val="00916ED8"/>
    <w:rsid w:val="00917F7F"/>
    <w:rsid w:val="00920AA4"/>
    <w:rsid w:val="00926538"/>
    <w:rsid w:val="0093226E"/>
    <w:rsid w:val="00932694"/>
    <w:rsid w:val="00937FCC"/>
    <w:rsid w:val="009453DC"/>
    <w:rsid w:val="009535D6"/>
    <w:rsid w:val="009567EC"/>
    <w:rsid w:val="009630BB"/>
    <w:rsid w:val="00964163"/>
    <w:rsid w:val="00967417"/>
    <w:rsid w:val="009724DD"/>
    <w:rsid w:val="00972CB7"/>
    <w:rsid w:val="00973C7A"/>
    <w:rsid w:val="00974939"/>
    <w:rsid w:val="00975B53"/>
    <w:rsid w:val="009765FF"/>
    <w:rsid w:val="00976EBC"/>
    <w:rsid w:val="00981B2D"/>
    <w:rsid w:val="00982B8E"/>
    <w:rsid w:val="00984DB1"/>
    <w:rsid w:val="00987C5C"/>
    <w:rsid w:val="0099002E"/>
    <w:rsid w:val="009909DE"/>
    <w:rsid w:val="00997A4D"/>
    <w:rsid w:val="00997DF3"/>
    <w:rsid w:val="009A2E3C"/>
    <w:rsid w:val="009A3B4E"/>
    <w:rsid w:val="009A4D70"/>
    <w:rsid w:val="009B601C"/>
    <w:rsid w:val="009B6514"/>
    <w:rsid w:val="009B6811"/>
    <w:rsid w:val="009C1EC6"/>
    <w:rsid w:val="009C38FA"/>
    <w:rsid w:val="009C6F49"/>
    <w:rsid w:val="009C76D4"/>
    <w:rsid w:val="009D2D3D"/>
    <w:rsid w:val="009E0BC0"/>
    <w:rsid w:val="009E3319"/>
    <w:rsid w:val="009E583C"/>
    <w:rsid w:val="009F0AF0"/>
    <w:rsid w:val="00A02A81"/>
    <w:rsid w:val="00A0726A"/>
    <w:rsid w:val="00A10171"/>
    <w:rsid w:val="00A10E90"/>
    <w:rsid w:val="00A1288E"/>
    <w:rsid w:val="00A16A7C"/>
    <w:rsid w:val="00A17B8F"/>
    <w:rsid w:val="00A17EFF"/>
    <w:rsid w:val="00A21B5B"/>
    <w:rsid w:val="00A25D33"/>
    <w:rsid w:val="00A25DB0"/>
    <w:rsid w:val="00A43126"/>
    <w:rsid w:val="00A5525B"/>
    <w:rsid w:val="00A64FB2"/>
    <w:rsid w:val="00A65595"/>
    <w:rsid w:val="00A74369"/>
    <w:rsid w:val="00A7470F"/>
    <w:rsid w:val="00A75856"/>
    <w:rsid w:val="00A80992"/>
    <w:rsid w:val="00A85038"/>
    <w:rsid w:val="00A85F00"/>
    <w:rsid w:val="00A928B7"/>
    <w:rsid w:val="00AA5CC0"/>
    <w:rsid w:val="00AA6330"/>
    <w:rsid w:val="00AB1253"/>
    <w:rsid w:val="00AB36FB"/>
    <w:rsid w:val="00AB76B6"/>
    <w:rsid w:val="00AB792C"/>
    <w:rsid w:val="00AC2570"/>
    <w:rsid w:val="00AC54D9"/>
    <w:rsid w:val="00AD0EE3"/>
    <w:rsid w:val="00AD37F1"/>
    <w:rsid w:val="00AD3ADF"/>
    <w:rsid w:val="00AE4A62"/>
    <w:rsid w:val="00AF165E"/>
    <w:rsid w:val="00AF4F2D"/>
    <w:rsid w:val="00B01ED5"/>
    <w:rsid w:val="00B149F8"/>
    <w:rsid w:val="00B15581"/>
    <w:rsid w:val="00B25FE9"/>
    <w:rsid w:val="00B2664C"/>
    <w:rsid w:val="00B32A94"/>
    <w:rsid w:val="00B35A13"/>
    <w:rsid w:val="00B35A1D"/>
    <w:rsid w:val="00B43342"/>
    <w:rsid w:val="00B553B7"/>
    <w:rsid w:val="00B63370"/>
    <w:rsid w:val="00B710D8"/>
    <w:rsid w:val="00B71E11"/>
    <w:rsid w:val="00B7342C"/>
    <w:rsid w:val="00B76186"/>
    <w:rsid w:val="00B777F8"/>
    <w:rsid w:val="00B832DC"/>
    <w:rsid w:val="00B90678"/>
    <w:rsid w:val="00B91A45"/>
    <w:rsid w:val="00B92639"/>
    <w:rsid w:val="00BA0789"/>
    <w:rsid w:val="00BA75DD"/>
    <w:rsid w:val="00BB5A35"/>
    <w:rsid w:val="00BB6450"/>
    <w:rsid w:val="00BC0710"/>
    <w:rsid w:val="00BC39C3"/>
    <w:rsid w:val="00BD3513"/>
    <w:rsid w:val="00BD4458"/>
    <w:rsid w:val="00BE03F0"/>
    <w:rsid w:val="00BE09FA"/>
    <w:rsid w:val="00BE5DF7"/>
    <w:rsid w:val="00BE75A7"/>
    <w:rsid w:val="00BF0614"/>
    <w:rsid w:val="00BF1B12"/>
    <w:rsid w:val="00C12F21"/>
    <w:rsid w:val="00C23934"/>
    <w:rsid w:val="00C23A41"/>
    <w:rsid w:val="00C26C29"/>
    <w:rsid w:val="00C30045"/>
    <w:rsid w:val="00C3022A"/>
    <w:rsid w:val="00C31583"/>
    <w:rsid w:val="00C32279"/>
    <w:rsid w:val="00C376AB"/>
    <w:rsid w:val="00C424A1"/>
    <w:rsid w:val="00C424C9"/>
    <w:rsid w:val="00C42E43"/>
    <w:rsid w:val="00C46F5D"/>
    <w:rsid w:val="00C5479F"/>
    <w:rsid w:val="00C572E2"/>
    <w:rsid w:val="00C57392"/>
    <w:rsid w:val="00C61042"/>
    <w:rsid w:val="00C61453"/>
    <w:rsid w:val="00C715B6"/>
    <w:rsid w:val="00C81F73"/>
    <w:rsid w:val="00C834D2"/>
    <w:rsid w:val="00C85787"/>
    <w:rsid w:val="00C871C4"/>
    <w:rsid w:val="00C93189"/>
    <w:rsid w:val="00C93F19"/>
    <w:rsid w:val="00CA7B36"/>
    <w:rsid w:val="00CB0ED3"/>
    <w:rsid w:val="00CB61CC"/>
    <w:rsid w:val="00CC3F31"/>
    <w:rsid w:val="00CC4A26"/>
    <w:rsid w:val="00CD1570"/>
    <w:rsid w:val="00CD4AC4"/>
    <w:rsid w:val="00CE4C1D"/>
    <w:rsid w:val="00CF096D"/>
    <w:rsid w:val="00D04461"/>
    <w:rsid w:val="00D1042D"/>
    <w:rsid w:val="00D20D7E"/>
    <w:rsid w:val="00D33AD7"/>
    <w:rsid w:val="00D43277"/>
    <w:rsid w:val="00D44125"/>
    <w:rsid w:val="00D52617"/>
    <w:rsid w:val="00D57478"/>
    <w:rsid w:val="00D62932"/>
    <w:rsid w:val="00D65618"/>
    <w:rsid w:val="00D66EB4"/>
    <w:rsid w:val="00D73883"/>
    <w:rsid w:val="00D76171"/>
    <w:rsid w:val="00D773A6"/>
    <w:rsid w:val="00D81B4E"/>
    <w:rsid w:val="00D82864"/>
    <w:rsid w:val="00D86B26"/>
    <w:rsid w:val="00D876A2"/>
    <w:rsid w:val="00D92069"/>
    <w:rsid w:val="00D9350D"/>
    <w:rsid w:val="00D95280"/>
    <w:rsid w:val="00D97434"/>
    <w:rsid w:val="00D97C38"/>
    <w:rsid w:val="00DB093A"/>
    <w:rsid w:val="00DB12F0"/>
    <w:rsid w:val="00DB3C3C"/>
    <w:rsid w:val="00DB3FC8"/>
    <w:rsid w:val="00DC0037"/>
    <w:rsid w:val="00DC48E9"/>
    <w:rsid w:val="00DD3904"/>
    <w:rsid w:val="00DD3923"/>
    <w:rsid w:val="00DD584F"/>
    <w:rsid w:val="00DE2E07"/>
    <w:rsid w:val="00DE33FA"/>
    <w:rsid w:val="00DF48A9"/>
    <w:rsid w:val="00E00B22"/>
    <w:rsid w:val="00E02A60"/>
    <w:rsid w:val="00E11A29"/>
    <w:rsid w:val="00E14695"/>
    <w:rsid w:val="00E1496A"/>
    <w:rsid w:val="00E24362"/>
    <w:rsid w:val="00E25B5D"/>
    <w:rsid w:val="00E31C78"/>
    <w:rsid w:val="00E32360"/>
    <w:rsid w:val="00E43448"/>
    <w:rsid w:val="00E44428"/>
    <w:rsid w:val="00E44910"/>
    <w:rsid w:val="00E54AF1"/>
    <w:rsid w:val="00E616C7"/>
    <w:rsid w:val="00E622B8"/>
    <w:rsid w:val="00E63105"/>
    <w:rsid w:val="00E85F6D"/>
    <w:rsid w:val="00E93231"/>
    <w:rsid w:val="00EA1517"/>
    <w:rsid w:val="00EA37D3"/>
    <w:rsid w:val="00EA4AD0"/>
    <w:rsid w:val="00EA568D"/>
    <w:rsid w:val="00EA683A"/>
    <w:rsid w:val="00EA6F8D"/>
    <w:rsid w:val="00EB1D8B"/>
    <w:rsid w:val="00EB6171"/>
    <w:rsid w:val="00ED3CAC"/>
    <w:rsid w:val="00ED4C1A"/>
    <w:rsid w:val="00EE5910"/>
    <w:rsid w:val="00EE7275"/>
    <w:rsid w:val="00F03554"/>
    <w:rsid w:val="00F0444A"/>
    <w:rsid w:val="00F0737A"/>
    <w:rsid w:val="00F12579"/>
    <w:rsid w:val="00F13981"/>
    <w:rsid w:val="00F13D31"/>
    <w:rsid w:val="00F21827"/>
    <w:rsid w:val="00F23549"/>
    <w:rsid w:val="00F26667"/>
    <w:rsid w:val="00F33C8A"/>
    <w:rsid w:val="00F34535"/>
    <w:rsid w:val="00F35046"/>
    <w:rsid w:val="00F35CA8"/>
    <w:rsid w:val="00F400EB"/>
    <w:rsid w:val="00F40707"/>
    <w:rsid w:val="00F410B5"/>
    <w:rsid w:val="00F5047C"/>
    <w:rsid w:val="00F5089F"/>
    <w:rsid w:val="00F51681"/>
    <w:rsid w:val="00F53000"/>
    <w:rsid w:val="00F6074A"/>
    <w:rsid w:val="00F6134D"/>
    <w:rsid w:val="00F61E16"/>
    <w:rsid w:val="00F62791"/>
    <w:rsid w:val="00F6289C"/>
    <w:rsid w:val="00F65A93"/>
    <w:rsid w:val="00F75F38"/>
    <w:rsid w:val="00F81EDD"/>
    <w:rsid w:val="00F82837"/>
    <w:rsid w:val="00F9010D"/>
    <w:rsid w:val="00F946CF"/>
    <w:rsid w:val="00FA0B77"/>
    <w:rsid w:val="00FA6C59"/>
    <w:rsid w:val="00FB2514"/>
    <w:rsid w:val="00FC4E14"/>
    <w:rsid w:val="00FC60C8"/>
    <w:rsid w:val="00FD2F20"/>
    <w:rsid w:val="00FD6147"/>
    <w:rsid w:val="00FD6BCE"/>
    <w:rsid w:val="00FE4805"/>
    <w:rsid w:val="00FE4EB3"/>
    <w:rsid w:val="00FE5C3C"/>
    <w:rsid w:val="00FF1F0B"/>
    <w:rsid w:val="00FF1FE2"/>
    <w:rsid w:val="00FF5480"/>
    <w:rsid w:val="00FF6650"/>
    <w:rsid w:val="00FF685D"/>
    <w:rsid w:val="00FF7DB8"/>
    <w:rsid w:val="01140A4A"/>
    <w:rsid w:val="01192921"/>
    <w:rsid w:val="0120047D"/>
    <w:rsid w:val="012817D9"/>
    <w:rsid w:val="01317F77"/>
    <w:rsid w:val="014276B1"/>
    <w:rsid w:val="018174F1"/>
    <w:rsid w:val="018221DE"/>
    <w:rsid w:val="0195213C"/>
    <w:rsid w:val="01A6074F"/>
    <w:rsid w:val="01A74DE0"/>
    <w:rsid w:val="01AA1D1B"/>
    <w:rsid w:val="01D67006"/>
    <w:rsid w:val="02006853"/>
    <w:rsid w:val="02017C95"/>
    <w:rsid w:val="02770771"/>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2849C9"/>
    <w:rsid w:val="103E032B"/>
    <w:rsid w:val="10821871"/>
    <w:rsid w:val="10C74A23"/>
    <w:rsid w:val="10CC1DBF"/>
    <w:rsid w:val="11211A6D"/>
    <w:rsid w:val="11386251"/>
    <w:rsid w:val="114802A7"/>
    <w:rsid w:val="115D2A58"/>
    <w:rsid w:val="11DD1F08"/>
    <w:rsid w:val="11DF34F2"/>
    <w:rsid w:val="11FC2705"/>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BF3D25"/>
    <w:rsid w:val="19D835AD"/>
    <w:rsid w:val="1A205FEB"/>
    <w:rsid w:val="1A5B3353"/>
    <w:rsid w:val="1ABA1161"/>
    <w:rsid w:val="1AD34E18"/>
    <w:rsid w:val="1B3217E8"/>
    <w:rsid w:val="1B4C4DCA"/>
    <w:rsid w:val="1C3703E0"/>
    <w:rsid w:val="1CC65580"/>
    <w:rsid w:val="1CFB6C8F"/>
    <w:rsid w:val="1D1E653A"/>
    <w:rsid w:val="1D4D6783"/>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863FD8"/>
    <w:rsid w:val="23CE32DB"/>
    <w:rsid w:val="23DD3304"/>
    <w:rsid w:val="23EF26C8"/>
    <w:rsid w:val="23FB0F6A"/>
    <w:rsid w:val="23FE38C9"/>
    <w:rsid w:val="241829B1"/>
    <w:rsid w:val="241D15C7"/>
    <w:rsid w:val="246F367A"/>
    <w:rsid w:val="24880436"/>
    <w:rsid w:val="2502184D"/>
    <w:rsid w:val="2506568E"/>
    <w:rsid w:val="25695889"/>
    <w:rsid w:val="25E3191A"/>
    <w:rsid w:val="272A36B9"/>
    <w:rsid w:val="27574CC5"/>
    <w:rsid w:val="27A45BFA"/>
    <w:rsid w:val="29477193"/>
    <w:rsid w:val="298E65D5"/>
    <w:rsid w:val="29E737F5"/>
    <w:rsid w:val="2AF16AE6"/>
    <w:rsid w:val="2B9E618D"/>
    <w:rsid w:val="2BB43662"/>
    <w:rsid w:val="2BBF414B"/>
    <w:rsid w:val="2BF27BA0"/>
    <w:rsid w:val="2BF86E47"/>
    <w:rsid w:val="2C275374"/>
    <w:rsid w:val="2C2F13D3"/>
    <w:rsid w:val="2C697C33"/>
    <w:rsid w:val="2C732FEC"/>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40D9F"/>
    <w:rsid w:val="344B7329"/>
    <w:rsid w:val="35397363"/>
    <w:rsid w:val="35661651"/>
    <w:rsid w:val="363E4677"/>
    <w:rsid w:val="36944DEE"/>
    <w:rsid w:val="36BB6818"/>
    <w:rsid w:val="36D61C82"/>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F35B5D"/>
    <w:rsid w:val="400E6C2F"/>
    <w:rsid w:val="405F451F"/>
    <w:rsid w:val="408D4D2E"/>
    <w:rsid w:val="410B54F1"/>
    <w:rsid w:val="41596324"/>
    <w:rsid w:val="416D454C"/>
    <w:rsid w:val="417E0DD4"/>
    <w:rsid w:val="41AE29E7"/>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D0E637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351166"/>
    <w:rsid w:val="50B13D07"/>
    <w:rsid w:val="50BD6861"/>
    <w:rsid w:val="51294459"/>
    <w:rsid w:val="520D4C4F"/>
    <w:rsid w:val="529C0525"/>
    <w:rsid w:val="52A00FEB"/>
    <w:rsid w:val="52AF1A71"/>
    <w:rsid w:val="531D3C87"/>
    <w:rsid w:val="53A75E29"/>
    <w:rsid w:val="53F420B3"/>
    <w:rsid w:val="54002F60"/>
    <w:rsid w:val="540E00C3"/>
    <w:rsid w:val="54615C1F"/>
    <w:rsid w:val="54CC5929"/>
    <w:rsid w:val="54D66B86"/>
    <w:rsid w:val="54F91B6A"/>
    <w:rsid w:val="55615595"/>
    <w:rsid w:val="55623E6D"/>
    <w:rsid w:val="556971D5"/>
    <w:rsid w:val="558D29EF"/>
    <w:rsid w:val="56C76FFA"/>
    <w:rsid w:val="57583870"/>
    <w:rsid w:val="57D3417C"/>
    <w:rsid w:val="57ED2829"/>
    <w:rsid w:val="57FD68C9"/>
    <w:rsid w:val="58062017"/>
    <w:rsid w:val="587D2383"/>
    <w:rsid w:val="58CD0BD9"/>
    <w:rsid w:val="59612E96"/>
    <w:rsid w:val="597A6EDE"/>
    <w:rsid w:val="59B85CA7"/>
    <w:rsid w:val="59E95784"/>
    <w:rsid w:val="5A1F4052"/>
    <w:rsid w:val="5A260312"/>
    <w:rsid w:val="5A41520F"/>
    <w:rsid w:val="5A456F85"/>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1A40227"/>
    <w:rsid w:val="62262C4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64A47B6"/>
    <w:rsid w:val="669A4C09"/>
    <w:rsid w:val="66D67A5D"/>
    <w:rsid w:val="66EE6546"/>
    <w:rsid w:val="67074E48"/>
    <w:rsid w:val="67246F89"/>
    <w:rsid w:val="67630127"/>
    <w:rsid w:val="67837630"/>
    <w:rsid w:val="683D3BEC"/>
    <w:rsid w:val="68417139"/>
    <w:rsid w:val="684347AC"/>
    <w:rsid w:val="68BF275E"/>
    <w:rsid w:val="69005F6E"/>
    <w:rsid w:val="690B55D0"/>
    <w:rsid w:val="6912771D"/>
    <w:rsid w:val="694C233B"/>
    <w:rsid w:val="696F2B99"/>
    <w:rsid w:val="69C05375"/>
    <w:rsid w:val="69E72C2E"/>
    <w:rsid w:val="69F97556"/>
    <w:rsid w:val="6A050965"/>
    <w:rsid w:val="6AB22668"/>
    <w:rsid w:val="6AD5171F"/>
    <w:rsid w:val="6ADB4BCA"/>
    <w:rsid w:val="6AEC2CF1"/>
    <w:rsid w:val="6AF03773"/>
    <w:rsid w:val="6B37579E"/>
    <w:rsid w:val="6B507ABD"/>
    <w:rsid w:val="6B7A75A6"/>
    <w:rsid w:val="6B885778"/>
    <w:rsid w:val="6C251B2E"/>
    <w:rsid w:val="6C537F7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topLinePunct/>
      <w:ind w:left="360"/>
      <w:outlineLvl w:val="0"/>
    </w:pPr>
    <w:rPr>
      <w:sz w:val="28"/>
    </w:rPr>
  </w:style>
  <w:style w:type="paragraph" w:styleId="3">
    <w:name w:val="heading 2"/>
    <w:basedOn w:val="1"/>
    <w:next w:val="1"/>
    <w:link w:val="62"/>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3"/>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4"/>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5"/>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6"/>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7"/>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68"/>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9"/>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link w:val="76"/>
    <w:qFormat/>
    <w:uiPriority w:val="0"/>
    <w:pPr>
      <w:adjustRightInd w:val="0"/>
      <w:spacing w:line="312" w:lineRule="atLeast"/>
      <w:ind w:firstLine="420"/>
      <w:textAlignment w:val="baseline"/>
    </w:pPr>
    <w:rPr>
      <w:rFonts w:ascii="@楷体" w:hAnsi="Symbol" w:eastAsia="楷体"/>
      <w:kern w:val="28"/>
      <w:sz w:val="15"/>
    </w:rPr>
  </w:style>
  <w:style w:type="paragraph" w:styleId="17">
    <w:name w:val="Document Map"/>
    <w:basedOn w:val="1"/>
    <w:link w:val="83"/>
    <w:qFormat/>
    <w:uiPriority w:val="0"/>
    <w:rPr>
      <w:rFonts w:ascii="宋体"/>
      <w:sz w:val="18"/>
      <w:szCs w:val="18"/>
    </w:rPr>
  </w:style>
  <w:style w:type="paragraph" w:styleId="18">
    <w:name w:val="annotation text"/>
    <w:basedOn w:val="1"/>
    <w:link w:val="85"/>
    <w:qFormat/>
    <w:uiPriority w:val="0"/>
    <w:pPr>
      <w:jc w:val="left"/>
    </w:pPr>
  </w:style>
  <w:style w:type="paragraph" w:styleId="19">
    <w:name w:val="Body Text 3"/>
    <w:basedOn w:val="1"/>
    <w:link w:val="195"/>
    <w:qFormat/>
    <w:uiPriority w:val="0"/>
    <w:pPr>
      <w:spacing w:after="120"/>
    </w:pPr>
    <w:rPr>
      <w:sz w:val="16"/>
      <w:szCs w:val="16"/>
    </w:rPr>
  </w:style>
  <w:style w:type="paragraph" w:styleId="20">
    <w:name w:val="List Bullet 3"/>
    <w:basedOn w:val="1"/>
    <w:qFormat/>
    <w:uiPriority w:val="0"/>
    <w:pPr>
      <w:tabs>
        <w:tab w:val="left" w:pos="1200"/>
      </w:tabs>
      <w:ind w:left="420" w:hanging="420"/>
    </w:pPr>
    <w:rPr>
      <w:szCs w:val="24"/>
    </w:rPr>
  </w:style>
  <w:style w:type="paragraph" w:styleId="21">
    <w:name w:val="Body Text"/>
    <w:basedOn w:val="1"/>
    <w:next w:val="1"/>
    <w:link w:val="79"/>
    <w:qFormat/>
    <w:uiPriority w:val="0"/>
    <w:rPr>
      <w:rFonts w:ascii="宋体" w:hAnsi="宋体"/>
      <w:color w:val="0000FF"/>
      <w:sz w:val="24"/>
      <w:szCs w:val="24"/>
    </w:rPr>
  </w:style>
  <w:style w:type="paragraph" w:styleId="22">
    <w:name w:val="Body Text Indent"/>
    <w:basedOn w:val="1"/>
    <w:next w:val="23"/>
    <w:link w:val="86"/>
    <w:qFormat/>
    <w:uiPriority w:val="0"/>
    <w:pPr>
      <w:spacing w:after="120"/>
      <w:ind w:left="420" w:leftChars="200"/>
    </w:pPr>
    <w:rPr>
      <w:szCs w:val="24"/>
    </w:rPr>
  </w:style>
  <w:style w:type="paragraph" w:styleId="23">
    <w:name w:val="envelope return"/>
    <w:basedOn w:val="1"/>
    <w:qFormat/>
    <w:uiPriority w:val="0"/>
    <w:pPr>
      <w:adjustRightInd w:val="0"/>
      <w:snapToGrid w:val="0"/>
      <w:spacing w:line="360" w:lineRule="atLeast"/>
      <w:jc w:val="left"/>
      <w:textAlignment w:val="baseline"/>
    </w:pPr>
    <w:rPr>
      <w:rFonts w:ascii="Arial" w:hAnsi="Arial"/>
      <w:kern w:val="0"/>
      <w:sz w:val="24"/>
    </w:rPr>
  </w:style>
  <w:style w:type="paragraph" w:styleId="24">
    <w:name w:val="Block Text"/>
    <w:basedOn w:val="1"/>
    <w:qFormat/>
    <w:uiPriority w:val="0"/>
    <w:pPr>
      <w:tabs>
        <w:tab w:val="left" w:pos="6480"/>
      </w:tabs>
      <w:adjustRightInd w:val="0"/>
      <w:spacing w:line="360" w:lineRule="auto"/>
      <w:ind w:left="899" w:leftChars="428" w:right="244" w:rightChars="116" w:firstLine="480" w:firstLineChars="200"/>
      <w:jc w:val="left"/>
      <w:textAlignment w:val="baseline"/>
    </w:pPr>
    <w:rPr>
      <w:kern w:val="0"/>
      <w:sz w:val="24"/>
    </w:rPr>
  </w:style>
  <w:style w:type="paragraph" w:styleId="25">
    <w:name w:val="List Bullet 2"/>
    <w:basedOn w:val="1"/>
    <w:qFormat/>
    <w:uiPriority w:val="0"/>
    <w:pPr>
      <w:tabs>
        <w:tab w:val="left" w:pos="780"/>
      </w:tabs>
      <w:ind w:left="420" w:hanging="420"/>
    </w:pPr>
    <w:rPr>
      <w:szCs w:val="24"/>
    </w:rPr>
  </w:style>
  <w:style w:type="paragraph" w:styleId="26">
    <w:name w:val="toc 5"/>
    <w:basedOn w:val="1"/>
    <w:next w:val="1"/>
    <w:qFormat/>
    <w:uiPriority w:val="0"/>
    <w:pPr>
      <w:ind w:left="1680" w:leftChars="800"/>
    </w:pPr>
    <w:rPr>
      <w:szCs w:val="24"/>
    </w:rPr>
  </w:style>
  <w:style w:type="paragraph" w:styleId="27">
    <w:name w:val="toc 3"/>
    <w:basedOn w:val="1"/>
    <w:next w:val="1"/>
    <w:qFormat/>
    <w:uiPriority w:val="0"/>
    <w:pPr>
      <w:ind w:left="840" w:leftChars="400"/>
    </w:pPr>
    <w:rPr>
      <w:szCs w:val="24"/>
    </w:rPr>
  </w:style>
  <w:style w:type="paragraph" w:styleId="28">
    <w:name w:val="Plain Text"/>
    <w:basedOn w:val="1"/>
    <w:link w:val="70"/>
    <w:unhideWhenUsed/>
    <w:qFormat/>
    <w:uiPriority w:val="0"/>
    <w:rPr>
      <w:rFonts w:ascii="宋体" w:hAnsi="Courier New"/>
    </w:rPr>
  </w:style>
  <w:style w:type="paragraph" w:styleId="29">
    <w:name w:val="toc 8"/>
    <w:basedOn w:val="1"/>
    <w:next w:val="1"/>
    <w:qFormat/>
    <w:uiPriority w:val="0"/>
    <w:pPr>
      <w:ind w:left="2940" w:leftChars="1400"/>
    </w:pPr>
    <w:rPr>
      <w:szCs w:val="24"/>
    </w:rPr>
  </w:style>
  <w:style w:type="paragraph" w:styleId="30">
    <w:name w:val="Date"/>
    <w:basedOn w:val="1"/>
    <w:next w:val="1"/>
    <w:link w:val="88"/>
    <w:qFormat/>
    <w:uiPriority w:val="0"/>
  </w:style>
  <w:style w:type="paragraph" w:styleId="31">
    <w:name w:val="Body Text Indent 2"/>
    <w:basedOn w:val="1"/>
    <w:link w:val="89"/>
    <w:qFormat/>
    <w:uiPriority w:val="0"/>
    <w:pPr>
      <w:ind w:firstLine="480" w:firstLineChars="200"/>
    </w:pPr>
    <w:rPr>
      <w:rFonts w:ascii="宋体" w:hAnsi="宋体"/>
      <w:color w:val="FF0000"/>
      <w:sz w:val="24"/>
      <w:szCs w:val="24"/>
    </w:rPr>
  </w:style>
  <w:style w:type="paragraph" w:styleId="32">
    <w:name w:val="Balloon Text"/>
    <w:basedOn w:val="1"/>
    <w:link w:val="75"/>
    <w:unhideWhenUsed/>
    <w:qFormat/>
    <w:uiPriority w:val="0"/>
    <w:rPr>
      <w:sz w:val="18"/>
      <w:szCs w:val="18"/>
    </w:rPr>
  </w:style>
  <w:style w:type="paragraph" w:styleId="33">
    <w:name w:val="footer"/>
    <w:basedOn w:val="1"/>
    <w:link w:val="71"/>
    <w:qFormat/>
    <w:uiPriority w:val="0"/>
    <w:pPr>
      <w:tabs>
        <w:tab w:val="center" w:pos="4153"/>
        <w:tab w:val="right" w:pos="8306"/>
      </w:tabs>
      <w:snapToGrid w:val="0"/>
      <w:jc w:val="left"/>
    </w:pPr>
    <w:rPr>
      <w:sz w:val="18"/>
    </w:rPr>
  </w:style>
  <w:style w:type="paragraph" w:styleId="34">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5">
    <w:name w:val="toc 1"/>
    <w:basedOn w:val="1"/>
    <w:next w:val="1"/>
    <w:qFormat/>
    <w:uiPriority w:val="0"/>
    <w:rPr>
      <w:szCs w:val="24"/>
    </w:rPr>
  </w:style>
  <w:style w:type="paragraph" w:styleId="36">
    <w:name w:val="toc 4"/>
    <w:basedOn w:val="1"/>
    <w:next w:val="1"/>
    <w:qFormat/>
    <w:uiPriority w:val="0"/>
    <w:pPr>
      <w:ind w:left="1260" w:leftChars="600"/>
    </w:pPr>
    <w:rPr>
      <w:szCs w:val="24"/>
    </w:rPr>
  </w:style>
  <w:style w:type="paragraph" w:styleId="37">
    <w:name w:val="Subtitle"/>
    <w:basedOn w:val="1"/>
    <w:link w:val="120"/>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38">
    <w:name w:val="toc 6"/>
    <w:basedOn w:val="1"/>
    <w:next w:val="1"/>
    <w:qFormat/>
    <w:uiPriority w:val="0"/>
    <w:pPr>
      <w:ind w:left="2100" w:leftChars="1000"/>
    </w:pPr>
    <w:rPr>
      <w:szCs w:val="24"/>
    </w:rPr>
  </w:style>
  <w:style w:type="paragraph" w:styleId="39">
    <w:name w:val="Body Text Indent 3"/>
    <w:basedOn w:val="1"/>
    <w:link w:val="91"/>
    <w:qFormat/>
    <w:uiPriority w:val="0"/>
    <w:pPr>
      <w:spacing w:line="360" w:lineRule="atLeast"/>
      <w:ind w:left="420" w:firstLine="480"/>
    </w:pPr>
    <w:rPr>
      <w:rFonts w:ascii="宋体"/>
      <w:sz w:val="24"/>
      <w:szCs w:val="24"/>
    </w:rPr>
  </w:style>
  <w:style w:type="paragraph" w:styleId="40">
    <w:name w:val="toc 2"/>
    <w:basedOn w:val="1"/>
    <w:next w:val="1"/>
    <w:qFormat/>
    <w:uiPriority w:val="0"/>
    <w:pPr>
      <w:ind w:left="420" w:leftChars="200"/>
    </w:pPr>
    <w:rPr>
      <w:szCs w:val="24"/>
    </w:rPr>
  </w:style>
  <w:style w:type="paragraph" w:styleId="41">
    <w:name w:val="toc 9"/>
    <w:basedOn w:val="1"/>
    <w:next w:val="1"/>
    <w:qFormat/>
    <w:uiPriority w:val="0"/>
    <w:pPr>
      <w:ind w:left="3360" w:leftChars="1600"/>
    </w:pPr>
    <w:rPr>
      <w:szCs w:val="24"/>
    </w:rPr>
  </w:style>
  <w:style w:type="paragraph" w:styleId="42">
    <w:name w:val="Body Text 2"/>
    <w:basedOn w:val="1"/>
    <w:link w:val="92"/>
    <w:qFormat/>
    <w:uiPriority w:val="0"/>
    <w:rPr>
      <w:rFonts w:ascii="宋体"/>
      <w:b/>
      <w:bCs/>
      <w:color w:val="0000FF"/>
      <w:sz w:val="30"/>
      <w:szCs w:val="24"/>
    </w:rPr>
  </w:style>
  <w:style w:type="paragraph" w:styleId="43">
    <w:name w:val="Message Header"/>
    <w:basedOn w:val="21"/>
    <w:link w:val="196"/>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44">
    <w:name w:val="HTML Preformatted"/>
    <w:basedOn w:val="1"/>
    <w:link w:val="9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46">
    <w:name w:val="index 1"/>
    <w:basedOn w:val="1"/>
    <w:next w:val="1"/>
    <w:qFormat/>
    <w:uiPriority w:val="0"/>
    <w:pPr>
      <w:adjustRightInd w:val="0"/>
      <w:spacing w:line="360" w:lineRule="atLeast"/>
      <w:jc w:val="left"/>
      <w:textAlignment w:val="baseline"/>
    </w:pPr>
    <w:rPr>
      <w:kern w:val="0"/>
      <w:sz w:val="24"/>
    </w:rPr>
  </w:style>
  <w:style w:type="paragraph" w:styleId="47">
    <w:name w:val="Title"/>
    <w:basedOn w:val="1"/>
    <w:next w:val="1"/>
    <w:link w:val="73"/>
    <w:qFormat/>
    <w:uiPriority w:val="0"/>
    <w:pPr>
      <w:adjustRightInd w:val="0"/>
      <w:snapToGrid w:val="0"/>
      <w:spacing w:before="120" w:after="120" w:line="520" w:lineRule="exact"/>
      <w:jc w:val="center"/>
      <w:outlineLvl w:val="0"/>
    </w:pPr>
    <w:rPr>
      <w:rFonts w:ascii="黑体" w:eastAsia="黑体"/>
      <w:snapToGrid w:val="0"/>
      <w:sz w:val="28"/>
    </w:rPr>
  </w:style>
  <w:style w:type="paragraph" w:styleId="48">
    <w:name w:val="annotation subject"/>
    <w:basedOn w:val="18"/>
    <w:next w:val="18"/>
    <w:link w:val="95"/>
    <w:semiHidden/>
    <w:qFormat/>
    <w:uiPriority w:val="0"/>
    <w:rPr>
      <w:b/>
      <w:bCs/>
      <w:szCs w:val="24"/>
    </w:rPr>
  </w:style>
  <w:style w:type="paragraph" w:styleId="49">
    <w:name w:val="Body Text First Indent"/>
    <w:basedOn w:val="21"/>
    <w:link w:val="137"/>
    <w:qFormat/>
    <w:uiPriority w:val="0"/>
    <w:pPr>
      <w:spacing w:after="120"/>
      <w:ind w:firstLine="420" w:firstLineChars="100"/>
    </w:pPr>
    <w:rPr>
      <w:rFonts w:hAnsi="Times New Roman"/>
      <w:color w:val="auto"/>
      <w:szCs w:val="20"/>
    </w:rPr>
  </w:style>
  <w:style w:type="paragraph" w:styleId="50">
    <w:name w:val="Body Text First Indent 2"/>
    <w:basedOn w:val="22"/>
    <w:next w:val="24"/>
    <w:link w:val="231"/>
    <w:autoRedefine/>
    <w:qFormat/>
    <w:uiPriority w:val="0"/>
    <w:pPr>
      <w:snapToGrid w:val="0"/>
      <w:spacing w:line="288" w:lineRule="auto"/>
      <w:ind w:left="907" w:firstLine="200" w:firstLineChars="200"/>
    </w:pPr>
    <w:rPr>
      <w:rFonts w:eastAsia="仿宋_GB2312"/>
      <w:sz w:val="30"/>
    </w:rPr>
  </w:style>
  <w:style w:type="table" w:styleId="52">
    <w:name w:val="Table Grid"/>
    <w:basedOn w:val="5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unhideWhenUsed/>
    <w:qFormat/>
    <w:uiPriority w:val="0"/>
    <w:rPr>
      <w:kern w:val="2"/>
      <w:sz w:val="21"/>
      <w:szCs w:val="21"/>
    </w:rPr>
  </w:style>
  <w:style w:type="character" w:styleId="56">
    <w:name w:val="FollowedHyperlink"/>
    <w:qFormat/>
    <w:uiPriority w:val="0"/>
    <w:rPr>
      <w:color w:val="800080"/>
      <w:u w:val="single"/>
    </w:rPr>
  </w:style>
  <w:style w:type="character" w:styleId="57">
    <w:name w:val="Emphasis"/>
    <w:basedOn w:val="53"/>
    <w:qFormat/>
    <w:uiPriority w:val="20"/>
    <w:rPr>
      <w:i/>
      <w:iCs/>
    </w:rPr>
  </w:style>
  <w:style w:type="character" w:styleId="58">
    <w:name w:val="Hyperlink"/>
    <w:basedOn w:val="53"/>
    <w:unhideWhenUsed/>
    <w:qFormat/>
    <w:uiPriority w:val="0"/>
    <w:rPr>
      <w:color w:val="0563C1" w:themeColor="hyperlink"/>
      <w:u w:val="single"/>
      <w14:textFill>
        <w14:solidFill>
          <w14:schemeClr w14:val="hlink"/>
        </w14:solidFill>
      </w14:textFill>
    </w:rPr>
  </w:style>
  <w:style w:type="character" w:styleId="59">
    <w:name w:val="annotation reference"/>
    <w:qFormat/>
    <w:uiPriority w:val="0"/>
    <w:rPr>
      <w:sz w:val="21"/>
      <w:szCs w:val="21"/>
    </w:rPr>
  </w:style>
  <w:style w:type="paragraph" w:customStyle="1" w:styleId="60">
    <w:name w:val="正文缩进1"/>
    <w:basedOn w:val="1"/>
    <w:qFormat/>
    <w:uiPriority w:val="0"/>
    <w:pPr>
      <w:adjustRightInd w:val="0"/>
      <w:spacing w:line="360" w:lineRule="atLeast"/>
      <w:ind w:firstLine="420"/>
      <w:jc w:val="left"/>
      <w:textAlignment w:val="baseline"/>
    </w:pPr>
    <w:rPr>
      <w:kern w:val="0"/>
      <w:sz w:val="24"/>
    </w:rPr>
  </w:style>
  <w:style w:type="character" w:customStyle="1" w:styleId="61">
    <w:name w:val="标题 1 字符"/>
    <w:basedOn w:val="53"/>
    <w:link w:val="2"/>
    <w:qFormat/>
    <w:uiPriority w:val="0"/>
    <w:rPr>
      <w:kern w:val="2"/>
      <w:sz w:val="28"/>
    </w:rPr>
  </w:style>
  <w:style w:type="character" w:customStyle="1" w:styleId="62">
    <w:name w:val="标题 2 字符"/>
    <w:basedOn w:val="53"/>
    <w:link w:val="3"/>
    <w:qFormat/>
    <w:uiPriority w:val="0"/>
    <w:rPr>
      <w:rFonts w:ascii="Arial" w:hAnsi="Arial" w:eastAsia="黑体"/>
      <w:b/>
      <w:sz w:val="32"/>
    </w:rPr>
  </w:style>
  <w:style w:type="character" w:customStyle="1" w:styleId="63">
    <w:name w:val="标题 3 字符"/>
    <w:basedOn w:val="53"/>
    <w:link w:val="4"/>
    <w:qFormat/>
    <w:uiPriority w:val="0"/>
    <w:rPr>
      <w:b/>
      <w:sz w:val="32"/>
    </w:rPr>
  </w:style>
  <w:style w:type="character" w:customStyle="1" w:styleId="64">
    <w:name w:val="标题 4 字符"/>
    <w:basedOn w:val="53"/>
    <w:link w:val="5"/>
    <w:qFormat/>
    <w:uiPriority w:val="0"/>
    <w:rPr>
      <w:rFonts w:ascii="Arial" w:hAnsi="Arial" w:eastAsia="黑体"/>
      <w:b/>
      <w:sz w:val="28"/>
    </w:rPr>
  </w:style>
  <w:style w:type="character" w:customStyle="1" w:styleId="65">
    <w:name w:val="标题 5 字符"/>
    <w:basedOn w:val="53"/>
    <w:link w:val="6"/>
    <w:qFormat/>
    <w:uiPriority w:val="0"/>
    <w:rPr>
      <w:b/>
      <w:sz w:val="28"/>
    </w:rPr>
  </w:style>
  <w:style w:type="character" w:customStyle="1" w:styleId="66">
    <w:name w:val="标题 6 字符"/>
    <w:basedOn w:val="53"/>
    <w:link w:val="7"/>
    <w:qFormat/>
    <w:uiPriority w:val="0"/>
    <w:rPr>
      <w:rFonts w:ascii="Arial" w:hAnsi="Arial" w:eastAsia="黑体"/>
      <w:b/>
      <w:sz w:val="24"/>
    </w:rPr>
  </w:style>
  <w:style w:type="character" w:customStyle="1" w:styleId="67">
    <w:name w:val="标题 7 字符"/>
    <w:basedOn w:val="53"/>
    <w:link w:val="8"/>
    <w:qFormat/>
    <w:uiPriority w:val="0"/>
    <w:rPr>
      <w:b/>
      <w:sz w:val="24"/>
    </w:rPr>
  </w:style>
  <w:style w:type="character" w:customStyle="1" w:styleId="68">
    <w:name w:val="标题 8 字符"/>
    <w:basedOn w:val="53"/>
    <w:link w:val="9"/>
    <w:qFormat/>
    <w:uiPriority w:val="0"/>
    <w:rPr>
      <w:rFonts w:ascii="Arial" w:hAnsi="Arial" w:eastAsia="黑体"/>
      <w:sz w:val="24"/>
    </w:rPr>
  </w:style>
  <w:style w:type="character" w:customStyle="1" w:styleId="69">
    <w:name w:val="标题 9 字符"/>
    <w:basedOn w:val="53"/>
    <w:link w:val="10"/>
    <w:qFormat/>
    <w:uiPriority w:val="0"/>
    <w:rPr>
      <w:rFonts w:ascii="Arial" w:hAnsi="Arial" w:eastAsia="黑体"/>
      <w:sz w:val="24"/>
    </w:rPr>
  </w:style>
  <w:style w:type="character" w:customStyle="1" w:styleId="70">
    <w:name w:val="纯文本 字符"/>
    <w:link w:val="28"/>
    <w:qFormat/>
    <w:uiPriority w:val="0"/>
    <w:rPr>
      <w:rFonts w:ascii="宋体" w:hAnsi="Courier New"/>
      <w:kern w:val="2"/>
      <w:sz w:val="21"/>
    </w:rPr>
  </w:style>
  <w:style w:type="character" w:customStyle="1" w:styleId="71">
    <w:name w:val="页脚 字符"/>
    <w:basedOn w:val="53"/>
    <w:link w:val="33"/>
    <w:qFormat/>
    <w:uiPriority w:val="99"/>
    <w:rPr>
      <w:kern w:val="2"/>
      <w:sz w:val="18"/>
    </w:rPr>
  </w:style>
  <w:style w:type="character" w:customStyle="1" w:styleId="72">
    <w:name w:val="页眉 字符"/>
    <w:link w:val="34"/>
    <w:qFormat/>
    <w:uiPriority w:val="99"/>
    <w:rPr>
      <w:kern w:val="2"/>
      <w:sz w:val="18"/>
    </w:rPr>
  </w:style>
  <w:style w:type="character" w:customStyle="1" w:styleId="73">
    <w:name w:val="标题 字符"/>
    <w:link w:val="47"/>
    <w:qFormat/>
    <w:uiPriority w:val="0"/>
    <w:rPr>
      <w:rFonts w:ascii="黑体" w:eastAsia="黑体"/>
      <w:snapToGrid w:val="0"/>
      <w:kern w:val="2"/>
      <w:sz w:val="28"/>
    </w:rPr>
  </w:style>
  <w:style w:type="paragraph" w:customStyle="1" w:styleId="74">
    <w:name w:val="Char Char Char1 Char Char Char Char"/>
    <w:basedOn w:val="1"/>
    <w:qFormat/>
    <w:uiPriority w:val="0"/>
    <w:rPr>
      <w:szCs w:val="21"/>
    </w:rPr>
  </w:style>
  <w:style w:type="character" w:customStyle="1" w:styleId="75">
    <w:name w:val="批注框文本 字符"/>
    <w:basedOn w:val="53"/>
    <w:link w:val="32"/>
    <w:qFormat/>
    <w:uiPriority w:val="0"/>
    <w:rPr>
      <w:kern w:val="2"/>
      <w:sz w:val="18"/>
      <w:szCs w:val="18"/>
    </w:rPr>
  </w:style>
  <w:style w:type="character" w:customStyle="1" w:styleId="76">
    <w:name w:val="正文缩进 字符"/>
    <w:link w:val="16"/>
    <w:qFormat/>
    <w:uiPriority w:val="0"/>
    <w:rPr>
      <w:rFonts w:ascii="@楷体" w:hAnsi="Symbol" w:eastAsia="楷体"/>
      <w:kern w:val="28"/>
      <w:sz w:val="15"/>
    </w:rPr>
  </w:style>
  <w:style w:type="paragraph" w:customStyle="1" w:styleId="77">
    <w:name w:val="列出段落1"/>
    <w:basedOn w:val="1"/>
    <w:link w:val="78"/>
    <w:qFormat/>
    <w:uiPriority w:val="34"/>
    <w:pPr>
      <w:ind w:firstLine="420" w:firstLineChars="200"/>
    </w:pPr>
    <w:rPr>
      <w:rFonts w:ascii="Calibri" w:hAnsi="Calibri" w:cs="Calibri"/>
      <w:szCs w:val="21"/>
    </w:rPr>
  </w:style>
  <w:style w:type="character" w:customStyle="1" w:styleId="78">
    <w:name w:val="列出段落 Char"/>
    <w:link w:val="77"/>
    <w:qFormat/>
    <w:uiPriority w:val="34"/>
    <w:rPr>
      <w:rFonts w:ascii="Calibri" w:hAnsi="Calibri" w:cs="Calibri"/>
      <w:kern w:val="2"/>
      <w:sz w:val="21"/>
      <w:szCs w:val="21"/>
    </w:rPr>
  </w:style>
  <w:style w:type="character" w:customStyle="1" w:styleId="79">
    <w:name w:val="正文文本 字符"/>
    <w:basedOn w:val="53"/>
    <w:link w:val="21"/>
    <w:qFormat/>
    <w:uiPriority w:val="0"/>
    <w:rPr>
      <w:rFonts w:ascii="宋体" w:hAnsi="宋体"/>
      <w:color w:val="0000FF"/>
      <w:kern w:val="2"/>
      <w:sz w:val="24"/>
      <w:szCs w:val="24"/>
    </w:rPr>
  </w:style>
  <w:style w:type="paragraph" w:styleId="80">
    <w:name w:val="List Paragraph"/>
    <w:basedOn w:val="1"/>
    <w:qFormat/>
    <w:uiPriority w:val="34"/>
    <w:pPr>
      <w:ind w:firstLine="420" w:firstLineChars="200"/>
    </w:pPr>
  </w:style>
  <w:style w:type="table" w:customStyle="1" w:styleId="81">
    <w:name w:val="网格型1"/>
    <w:basedOn w:val="51"/>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2">
    <w:name w:val="正文缩进 Char"/>
    <w:qFormat/>
    <w:uiPriority w:val="0"/>
    <w:rPr>
      <w:rFonts w:ascii="@楷体" w:hAnsi="Symbol" w:eastAsia="楷体"/>
      <w:kern w:val="28"/>
      <w:sz w:val="15"/>
      <w:lang w:val="en-US" w:eastAsia="zh-CN" w:bidi="ar-SA"/>
    </w:rPr>
  </w:style>
  <w:style w:type="character" w:customStyle="1" w:styleId="83">
    <w:name w:val="文档结构图 字符1"/>
    <w:link w:val="17"/>
    <w:qFormat/>
    <w:uiPriority w:val="0"/>
    <w:rPr>
      <w:rFonts w:ascii="宋体"/>
      <w:kern w:val="2"/>
      <w:sz w:val="18"/>
      <w:szCs w:val="18"/>
    </w:rPr>
  </w:style>
  <w:style w:type="character" w:customStyle="1" w:styleId="84">
    <w:name w:val="文档结构图 字符"/>
    <w:basedOn w:val="53"/>
    <w:qFormat/>
    <w:uiPriority w:val="0"/>
    <w:rPr>
      <w:rFonts w:ascii="Microsoft YaHei UI" w:eastAsia="Microsoft YaHei UI"/>
      <w:kern w:val="2"/>
      <w:sz w:val="18"/>
      <w:szCs w:val="18"/>
    </w:rPr>
  </w:style>
  <w:style w:type="character" w:customStyle="1" w:styleId="85">
    <w:name w:val="批注文字 字符"/>
    <w:basedOn w:val="53"/>
    <w:link w:val="18"/>
    <w:qFormat/>
    <w:uiPriority w:val="0"/>
    <w:rPr>
      <w:kern w:val="2"/>
      <w:sz w:val="21"/>
    </w:rPr>
  </w:style>
  <w:style w:type="character" w:customStyle="1" w:styleId="86">
    <w:name w:val="正文文本缩进 字符"/>
    <w:basedOn w:val="53"/>
    <w:link w:val="22"/>
    <w:qFormat/>
    <w:uiPriority w:val="0"/>
    <w:rPr>
      <w:kern w:val="2"/>
      <w:sz w:val="21"/>
      <w:szCs w:val="24"/>
    </w:rPr>
  </w:style>
  <w:style w:type="character" w:customStyle="1" w:styleId="87">
    <w:name w:val="纯文本 Char"/>
    <w:qFormat/>
    <w:uiPriority w:val="0"/>
    <w:rPr>
      <w:rFonts w:ascii="宋体" w:hAnsi="Courier New"/>
      <w:kern w:val="2"/>
      <w:sz w:val="21"/>
    </w:rPr>
  </w:style>
  <w:style w:type="character" w:customStyle="1" w:styleId="88">
    <w:name w:val="日期 字符"/>
    <w:basedOn w:val="53"/>
    <w:link w:val="30"/>
    <w:qFormat/>
    <w:uiPriority w:val="0"/>
    <w:rPr>
      <w:kern w:val="2"/>
      <w:sz w:val="21"/>
    </w:rPr>
  </w:style>
  <w:style w:type="character" w:customStyle="1" w:styleId="89">
    <w:name w:val="正文文本缩进 2 字符"/>
    <w:basedOn w:val="53"/>
    <w:link w:val="31"/>
    <w:qFormat/>
    <w:uiPriority w:val="0"/>
    <w:rPr>
      <w:rFonts w:ascii="宋体" w:hAnsi="宋体"/>
      <w:color w:val="FF0000"/>
      <w:kern w:val="2"/>
      <w:sz w:val="24"/>
      <w:szCs w:val="24"/>
    </w:rPr>
  </w:style>
  <w:style w:type="character" w:customStyle="1" w:styleId="90">
    <w:name w:val="页脚 Char"/>
    <w:qFormat/>
    <w:uiPriority w:val="0"/>
    <w:rPr>
      <w:kern w:val="2"/>
      <w:sz w:val="18"/>
      <w:szCs w:val="18"/>
      <w:lang w:val="en-US" w:eastAsia="zh-CN"/>
    </w:rPr>
  </w:style>
  <w:style w:type="character" w:customStyle="1" w:styleId="91">
    <w:name w:val="正文文本缩进 3 字符"/>
    <w:basedOn w:val="53"/>
    <w:link w:val="39"/>
    <w:qFormat/>
    <w:uiPriority w:val="0"/>
    <w:rPr>
      <w:rFonts w:ascii="宋体"/>
      <w:kern w:val="2"/>
      <w:sz w:val="24"/>
      <w:szCs w:val="24"/>
    </w:rPr>
  </w:style>
  <w:style w:type="character" w:customStyle="1" w:styleId="92">
    <w:name w:val="正文文本 2 字符"/>
    <w:basedOn w:val="53"/>
    <w:link w:val="42"/>
    <w:qFormat/>
    <w:uiPriority w:val="0"/>
    <w:rPr>
      <w:rFonts w:ascii="宋体"/>
      <w:b/>
      <w:bCs/>
      <w:color w:val="0000FF"/>
      <w:kern w:val="2"/>
      <w:sz w:val="30"/>
      <w:szCs w:val="24"/>
    </w:rPr>
  </w:style>
  <w:style w:type="character" w:customStyle="1" w:styleId="93">
    <w:name w:val="HTML 预设格式 字符1"/>
    <w:link w:val="44"/>
    <w:qFormat/>
    <w:uiPriority w:val="99"/>
    <w:rPr>
      <w:rFonts w:ascii="宋体" w:hAnsi="宋体" w:cs="宋体"/>
      <w:sz w:val="24"/>
      <w:szCs w:val="24"/>
    </w:rPr>
  </w:style>
  <w:style w:type="character" w:customStyle="1" w:styleId="94">
    <w:name w:val="HTML 预设格式 字符"/>
    <w:basedOn w:val="53"/>
    <w:semiHidden/>
    <w:qFormat/>
    <w:uiPriority w:val="99"/>
    <w:rPr>
      <w:rFonts w:ascii="Courier New" w:hAnsi="Courier New" w:cs="Courier New"/>
      <w:kern w:val="2"/>
    </w:rPr>
  </w:style>
  <w:style w:type="character" w:customStyle="1" w:styleId="95">
    <w:name w:val="批注主题 字符"/>
    <w:basedOn w:val="85"/>
    <w:link w:val="48"/>
    <w:semiHidden/>
    <w:qFormat/>
    <w:uiPriority w:val="0"/>
    <w:rPr>
      <w:b/>
      <w:bCs/>
      <w:kern w:val="2"/>
      <w:sz w:val="21"/>
      <w:szCs w:val="24"/>
    </w:rPr>
  </w:style>
  <w:style w:type="character" w:customStyle="1" w:styleId="96">
    <w:name w:val="txt41"/>
    <w:qFormat/>
    <w:uiPriority w:val="0"/>
    <w:rPr>
      <w:b/>
      <w:bCs/>
      <w:color w:val="000000"/>
      <w:sz w:val="29"/>
      <w:szCs w:val="29"/>
    </w:rPr>
  </w:style>
  <w:style w:type="character" w:customStyle="1" w:styleId="97">
    <w:name w:val="样式12 Char"/>
    <w:link w:val="98"/>
    <w:qFormat/>
    <w:locked/>
    <w:uiPriority w:val="0"/>
    <w:rPr>
      <w:kern w:val="2"/>
      <w:sz w:val="24"/>
    </w:rPr>
  </w:style>
  <w:style w:type="paragraph" w:customStyle="1" w:styleId="98">
    <w:name w:val="样式12"/>
    <w:basedOn w:val="1"/>
    <w:link w:val="97"/>
    <w:qFormat/>
    <w:uiPriority w:val="0"/>
    <w:pPr>
      <w:tabs>
        <w:tab w:val="left" w:pos="533"/>
      </w:tabs>
      <w:ind w:left="420" w:hanging="420"/>
    </w:pPr>
    <w:rPr>
      <w:sz w:val="24"/>
    </w:rPr>
  </w:style>
  <w:style w:type="character" w:customStyle="1" w:styleId="99">
    <w:name w:val="txt91"/>
    <w:qFormat/>
    <w:uiPriority w:val="0"/>
    <w:rPr>
      <w:b/>
      <w:bCs/>
      <w:color w:val="330066"/>
      <w:sz w:val="22"/>
      <w:szCs w:val="22"/>
    </w:rPr>
  </w:style>
  <w:style w:type="character" w:customStyle="1" w:styleId="100">
    <w:name w:val="txt14"/>
    <w:qFormat/>
    <w:uiPriority w:val="0"/>
    <w:rPr>
      <w:color w:val="000000"/>
      <w:sz w:val="29"/>
      <w:szCs w:val="29"/>
    </w:rPr>
  </w:style>
  <w:style w:type="paragraph" w:customStyle="1" w:styleId="101">
    <w:name w:val="大标题"/>
    <w:basedOn w:val="1"/>
    <w:qFormat/>
    <w:uiPriority w:val="0"/>
    <w:pPr>
      <w:jc w:val="center"/>
    </w:pPr>
    <w:rPr>
      <w:rFonts w:ascii="黑体" w:eastAsia="黑体" w:cs="宋体"/>
      <w:b/>
      <w:bCs/>
      <w:sz w:val="32"/>
    </w:rPr>
  </w:style>
  <w:style w:type="paragraph" w:customStyle="1" w:styleId="102">
    <w:name w:val="4 Char"/>
    <w:basedOn w:val="1"/>
    <w:qFormat/>
    <w:uiPriority w:val="0"/>
    <w:rPr>
      <w:szCs w:val="24"/>
    </w:rPr>
  </w:style>
  <w:style w:type="paragraph" w:customStyle="1" w:styleId="103">
    <w:name w:val="Char Char Char1"/>
    <w:basedOn w:val="1"/>
    <w:qFormat/>
    <w:uiPriority w:val="0"/>
    <w:rPr>
      <w:szCs w:val="24"/>
    </w:rPr>
  </w:style>
  <w:style w:type="paragraph" w:customStyle="1" w:styleId="104">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05">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06">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07">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08">
    <w:name w:val="Char"/>
    <w:basedOn w:val="1"/>
    <w:qFormat/>
    <w:uiPriority w:val="0"/>
    <w:rPr>
      <w:szCs w:val="21"/>
    </w:rPr>
  </w:style>
  <w:style w:type="paragraph" w:customStyle="1" w:styleId="109">
    <w:name w:val="列出段落2"/>
    <w:basedOn w:val="1"/>
    <w:qFormat/>
    <w:uiPriority w:val="0"/>
    <w:pPr>
      <w:ind w:firstLine="420" w:firstLineChars="200"/>
    </w:pPr>
    <w:rPr>
      <w:rFonts w:ascii="Calibri" w:hAnsi="Calibri" w:cs="Calibri"/>
      <w:szCs w:val="21"/>
    </w:rPr>
  </w:style>
  <w:style w:type="paragraph" w:customStyle="1" w:styleId="110">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1">
    <w:name w:val="Char1"/>
    <w:basedOn w:val="1"/>
    <w:qFormat/>
    <w:uiPriority w:val="0"/>
    <w:rPr>
      <w:szCs w:val="24"/>
    </w:rPr>
  </w:style>
  <w:style w:type="paragraph" w:customStyle="1" w:styleId="112">
    <w:name w:val="Char Char Char Char"/>
    <w:basedOn w:val="1"/>
    <w:qFormat/>
    <w:uiPriority w:val="0"/>
    <w:pPr>
      <w:adjustRightInd w:val="0"/>
      <w:spacing w:line="360" w:lineRule="auto"/>
    </w:pPr>
    <w:rPr>
      <w:rFonts w:ascii="Tahoma" w:hAnsi="Tahoma"/>
      <w:kern w:val="0"/>
      <w:sz w:val="24"/>
    </w:rPr>
  </w:style>
  <w:style w:type="paragraph" w:customStyle="1" w:styleId="113">
    <w:name w:val="内容文字"/>
    <w:basedOn w:val="1"/>
    <w:qFormat/>
    <w:uiPriority w:val="0"/>
    <w:pPr>
      <w:spacing w:line="360" w:lineRule="exact"/>
    </w:pPr>
    <w:rPr>
      <w:rFonts w:ascii="宋体"/>
      <w:sz w:val="24"/>
    </w:rPr>
  </w:style>
  <w:style w:type="paragraph" w:customStyle="1" w:styleId="114">
    <w:name w:val="tablecontents"/>
    <w:basedOn w:val="1"/>
    <w:qFormat/>
    <w:uiPriority w:val="0"/>
    <w:pPr>
      <w:widowControl/>
      <w:spacing w:after="60"/>
    </w:pPr>
    <w:rPr>
      <w:rFonts w:ascii="Arial" w:hAnsi="Arial"/>
      <w:kern w:val="0"/>
      <w:sz w:val="20"/>
    </w:rPr>
  </w:style>
  <w:style w:type="paragraph" w:customStyle="1" w:styleId="115">
    <w:name w:val="5 Char Char Char Char"/>
    <w:basedOn w:val="1"/>
    <w:qFormat/>
    <w:uiPriority w:val="0"/>
    <w:pPr>
      <w:keepNext/>
      <w:keepLines/>
      <w:spacing w:line="360" w:lineRule="auto"/>
      <w:ind w:firstLine="480" w:firstLineChars="200"/>
    </w:pPr>
    <w:rPr>
      <w:kern w:val="0"/>
      <w:sz w:val="24"/>
    </w:rPr>
  </w:style>
  <w:style w:type="paragraph" w:customStyle="1" w:styleId="116">
    <w:name w:val="Char Char Char Char Char Char Char"/>
    <w:basedOn w:val="1"/>
    <w:qFormat/>
    <w:uiPriority w:val="0"/>
    <w:pPr>
      <w:adjustRightInd w:val="0"/>
      <w:spacing w:line="360" w:lineRule="auto"/>
    </w:pPr>
    <w:rPr>
      <w:rFonts w:ascii="Tahoma" w:hAnsi="Tahoma"/>
      <w:kern w:val="0"/>
      <w:sz w:val="24"/>
    </w:rPr>
  </w:style>
  <w:style w:type="character" w:customStyle="1" w:styleId="117">
    <w:name w:val="readmail_locationtip"/>
    <w:qFormat/>
    <w:uiPriority w:val="0"/>
  </w:style>
  <w:style w:type="table" w:customStyle="1" w:styleId="118">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9">
    <w:name w:val="TOC 11"/>
    <w:basedOn w:val="1"/>
    <w:next w:val="1"/>
    <w:qFormat/>
    <w:locked/>
    <w:uiPriority w:val="39"/>
    <w:rPr>
      <w:szCs w:val="21"/>
    </w:rPr>
  </w:style>
  <w:style w:type="character" w:customStyle="1" w:styleId="120">
    <w:name w:val="副标题 字符"/>
    <w:basedOn w:val="53"/>
    <w:link w:val="37"/>
    <w:qFormat/>
    <w:uiPriority w:val="0"/>
    <w:rPr>
      <w:rFonts w:ascii="Cambria" w:hAnsi="Cambria"/>
      <w:b/>
      <w:bCs/>
      <w:kern w:val="28"/>
      <w:sz w:val="32"/>
      <w:szCs w:val="32"/>
    </w:rPr>
  </w:style>
  <w:style w:type="character" w:customStyle="1" w:styleId="121">
    <w:name w:val="技术规范书正文 Char"/>
    <w:link w:val="122"/>
    <w:qFormat/>
    <w:locked/>
    <w:uiPriority w:val="0"/>
    <w:rPr>
      <w:kern w:val="2"/>
      <w:sz w:val="24"/>
      <w:szCs w:val="24"/>
    </w:rPr>
  </w:style>
  <w:style w:type="paragraph" w:customStyle="1" w:styleId="122">
    <w:name w:val="技术规范书正文"/>
    <w:link w:val="121"/>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23">
    <w:name w:val="TOC 41"/>
    <w:basedOn w:val="1"/>
    <w:next w:val="1"/>
    <w:qFormat/>
    <w:locked/>
    <w:uiPriority w:val="0"/>
    <w:pPr>
      <w:ind w:left="1260" w:leftChars="600"/>
    </w:pPr>
    <w:rPr>
      <w:szCs w:val="21"/>
    </w:rPr>
  </w:style>
  <w:style w:type="paragraph" w:customStyle="1" w:styleId="124">
    <w:name w:val="TOC 51"/>
    <w:basedOn w:val="1"/>
    <w:next w:val="1"/>
    <w:qFormat/>
    <w:locked/>
    <w:uiPriority w:val="0"/>
    <w:pPr>
      <w:ind w:left="1680" w:leftChars="800"/>
    </w:pPr>
    <w:rPr>
      <w:szCs w:val="21"/>
    </w:rPr>
  </w:style>
  <w:style w:type="paragraph" w:customStyle="1" w:styleId="125">
    <w:name w:val="TOC 71"/>
    <w:basedOn w:val="1"/>
    <w:next w:val="1"/>
    <w:qFormat/>
    <w:locked/>
    <w:uiPriority w:val="0"/>
    <w:pPr>
      <w:ind w:left="2520" w:leftChars="1200"/>
    </w:pPr>
    <w:rPr>
      <w:szCs w:val="21"/>
    </w:rPr>
  </w:style>
  <w:style w:type="paragraph" w:customStyle="1" w:styleId="126">
    <w:name w:val="TOC 21"/>
    <w:basedOn w:val="1"/>
    <w:next w:val="1"/>
    <w:qFormat/>
    <w:locked/>
    <w:uiPriority w:val="0"/>
    <w:pPr>
      <w:ind w:left="420" w:leftChars="200"/>
    </w:pPr>
    <w:rPr>
      <w:szCs w:val="21"/>
    </w:rPr>
  </w:style>
  <w:style w:type="paragraph" w:customStyle="1" w:styleId="127">
    <w:name w:val="TOC 61"/>
    <w:basedOn w:val="1"/>
    <w:next w:val="1"/>
    <w:qFormat/>
    <w:locked/>
    <w:uiPriority w:val="0"/>
    <w:pPr>
      <w:ind w:left="2100" w:leftChars="1000"/>
    </w:pPr>
    <w:rPr>
      <w:szCs w:val="21"/>
    </w:rPr>
  </w:style>
  <w:style w:type="paragraph" w:customStyle="1" w:styleId="128">
    <w:name w:val="TOC 31"/>
    <w:basedOn w:val="1"/>
    <w:next w:val="1"/>
    <w:qFormat/>
    <w:locked/>
    <w:uiPriority w:val="0"/>
    <w:pPr>
      <w:ind w:left="840" w:leftChars="400"/>
    </w:pPr>
    <w:rPr>
      <w:szCs w:val="21"/>
    </w:rPr>
  </w:style>
  <w:style w:type="paragraph" w:customStyle="1" w:styleId="129">
    <w:name w:val="TOC 91"/>
    <w:basedOn w:val="1"/>
    <w:next w:val="1"/>
    <w:qFormat/>
    <w:locked/>
    <w:uiPriority w:val="0"/>
    <w:pPr>
      <w:ind w:left="3360" w:leftChars="1600"/>
    </w:pPr>
    <w:rPr>
      <w:szCs w:val="21"/>
    </w:rPr>
  </w:style>
  <w:style w:type="paragraph" w:customStyle="1" w:styleId="130">
    <w:name w:val="TOC 81"/>
    <w:basedOn w:val="1"/>
    <w:next w:val="1"/>
    <w:qFormat/>
    <w:locked/>
    <w:uiPriority w:val="0"/>
    <w:pPr>
      <w:ind w:left="2940" w:leftChars="1400"/>
    </w:pPr>
    <w:rPr>
      <w:szCs w:val="21"/>
    </w:rPr>
  </w:style>
  <w:style w:type="paragraph" w:customStyle="1" w:styleId="131">
    <w:name w:val="正文1"/>
    <w:basedOn w:val="1"/>
    <w:link w:val="176"/>
    <w:qFormat/>
    <w:uiPriority w:val="0"/>
    <w:pPr>
      <w:adjustRightInd w:val="0"/>
      <w:spacing w:line="360" w:lineRule="atLeast"/>
      <w:jc w:val="left"/>
      <w:textAlignment w:val="baseline"/>
    </w:pPr>
    <w:rPr>
      <w:rFonts w:ascii="宋体"/>
      <w:kern w:val="0"/>
      <w:sz w:val="24"/>
    </w:rPr>
  </w:style>
  <w:style w:type="paragraph" w:customStyle="1" w:styleId="132">
    <w:name w:val="样式1"/>
    <w:basedOn w:val="1"/>
    <w:link w:val="175"/>
    <w:qFormat/>
    <w:uiPriority w:val="0"/>
    <w:pPr>
      <w:adjustRightInd w:val="0"/>
      <w:spacing w:line="420" w:lineRule="auto"/>
      <w:jc w:val="center"/>
      <w:textAlignment w:val="baseline"/>
    </w:pPr>
    <w:rPr>
      <w:rFonts w:ascii="宋体"/>
      <w:kern w:val="0"/>
      <w:sz w:val="24"/>
      <w:szCs w:val="24"/>
    </w:rPr>
  </w:style>
  <w:style w:type="paragraph" w:customStyle="1" w:styleId="133">
    <w:name w:val="Char Char1 Char"/>
    <w:basedOn w:val="1"/>
    <w:qFormat/>
    <w:uiPriority w:val="0"/>
    <w:rPr>
      <w:rFonts w:ascii="宋体"/>
      <w:kern w:val="0"/>
      <w:sz w:val="24"/>
    </w:rPr>
  </w:style>
  <w:style w:type="paragraph" w:customStyle="1" w:styleId="134">
    <w:name w:val="纯文本1"/>
    <w:basedOn w:val="1"/>
    <w:qFormat/>
    <w:uiPriority w:val="0"/>
    <w:rPr>
      <w:rFonts w:ascii="宋体" w:hAnsi="Courier New"/>
    </w:rPr>
  </w:style>
  <w:style w:type="paragraph" w:customStyle="1" w:styleId="135">
    <w:name w:val="p0"/>
    <w:basedOn w:val="1"/>
    <w:qFormat/>
    <w:uiPriority w:val="0"/>
    <w:pPr>
      <w:widowControl/>
    </w:pPr>
    <w:rPr>
      <w:kern w:val="0"/>
      <w:szCs w:val="21"/>
    </w:rPr>
  </w:style>
  <w:style w:type="paragraph" w:customStyle="1" w:styleId="136">
    <w:name w:val="Char Char Char Char1"/>
    <w:basedOn w:val="1"/>
    <w:qFormat/>
    <w:uiPriority w:val="0"/>
    <w:rPr>
      <w:szCs w:val="24"/>
    </w:rPr>
  </w:style>
  <w:style w:type="character" w:customStyle="1" w:styleId="137">
    <w:name w:val="正文文本首行缩进 字符"/>
    <w:basedOn w:val="79"/>
    <w:link w:val="49"/>
    <w:qFormat/>
    <w:uiPriority w:val="0"/>
    <w:rPr>
      <w:rFonts w:ascii="宋体" w:hAnsi="宋体"/>
      <w:color w:val="0000FF"/>
      <w:kern w:val="2"/>
      <w:sz w:val="24"/>
      <w:szCs w:val="24"/>
    </w:rPr>
  </w:style>
  <w:style w:type="character" w:customStyle="1" w:styleId="138">
    <w:name w:val="标题 1 Char1"/>
    <w:basedOn w:val="53"/>
    <w:qFormat/>
    <w:uiPriority w:val="0"/>
    <w:rPr>
      <w:rFonts w:eastAsia="宋体"/>
      <w:b/>
      <w:bCs/>
      <w:color w:val="000000"/>
      <w:kern w:val="44"/>
      <w:sz w:val="24"/>
      <w:szCs w:val="32"/>
      <w:lang w:val="en-US" w:eastAsia="zh-CN" w:bidi="ar-SA"/>
    </w:rPr>
  </w:style>
  <w:style w:type="character" w:customStyle="1" w:styleId="139">
    <w:name w:val="标题 2 Char1"/>
    <w:basedOn w:val="53"/>
    <w:qFormat/>
    <w:uiPriority w:val="0"/>
    <w:rPr>
      <w:rFonts w:eastAsia="宋体"/>
      <w:b/>
      <w:bCs/>
      <w:kern w:val="2"/>
      <w:sz w:val="24"/>
      <w:lang w:val="en-US" w:eastAsia="zh-CN" w:bidi="ar-SA"/>
    </w:rPr>
  </w:style>
  <w:style w:type="paragraph" w:customStyle="1" w:styleId="140">
    <w:name w:val="Char Char Char"/>
    <w:basedOn w:val="1"/>
    <w:qFormat/>
    <w:uiPriority w:val="0"/>
    <w:rPr>
      <w:sz w:val="24"/>
      <w:szCs w:val="24"/>
    </w:rPr>
  </w:style>
  <w:style w:type="paragraph" w:customStyle="1" w:styleId="141">
    <w:name w:val="Char1 Char Char Char"/>
    <w:basedOn w:val="1"/>
    <w:qFormat/>
    <w:uiPriority w:val="0"/>
    <w:rPr>
      <w:sz w:val="24"/>
      <w:szCs w:val="24"/>
    </w:rPr>
  </w:style>
  <w:style w:type="paragraph" w:customStyle="1" w:styleId="142">
    <w:name w:val="Char Char Char Char Char Char Char Char Char Char Char Char"/>
    <w:basedOn w:val="1"/>
    <w:qFormat/>
    <w:uiPriority w:val="0"/>
    <w:rPr>
      <w:szCs w:val="24"/>
    </w:rPr>
  </w:style>
  <w:style w:type="paragraph" w:customStyle="1" w:styleId="143">
    <w:name w:val="Char Char2 Char Char Char Char Char Char Char Char Char1"/>
    <w:basedOn w:val="1"/>
    <w:qFormat/>
    <w:uiPriority w:val="0"/>
    <w:rPr>
      <w:sz w:val="24"/>
      <w:szCs w:val="24"/>
    </w:rPr>
  </w:style>
  <w:style w:type="paragraph" w:customStyle="1" w:styleId="144">
    <w:name w:val="Char Char"/>
    <w:basedOn w:val="1"/>
    <w:qFormat/>
    <w:uiPriority w:val="0"/>
    <w:rPr>
      <w:sz w:val="24"/>
      <w:szCs w:val="24"/>
    </w:rPr>
  </w:style>
  <w:style w:type="paragraph" w:customStyle="1" w:styleId="145">
    <w:name w:val="表格"/>
    <w:basedOn w:val="1"/>
    <w:qFormat/>
    <w:uiPriority w:val="0"/>
    <w:pPr>
      <w:adjustRightInd w:val="0"/>
      <w:spacing w:before="60" w:after="60"/>
      <w:jc w:val="center"/>
      <w:textAlignment w:val="baseline"/>
    </w:pPr>
    <w:rPr>
      <w:rFonts w:ascii="宋体"/>
      <w:kern w:val="0"/>
      <w:sz w:val="24"/>
    </w:rPr>
  </w:style>
  <w:style w:type="paragraph" w:customStyle="1" w:styleId="146">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47">
    <w:name w:val="样式2"/>
    <w:basedOn w:val="1"/>
    <w:link w:val="171"/>
    <w:qFormat/>
    <w:uiPriority w:val="0"/>
    <w:pPr>
      <w:adjustRightInd w:val="0"/>
      <w:spacing w:line="410" w:lineRule="atLeast"/>
      <w:jc w:val="left"/>
      <w:textAlignment w:val="baseline"/>
    </w:pPr>
    <w:rPr>
      <w:kern w:val="0"/>
      <w:sz w:val="24"/>
    </w:rPr>
  </w:style>
  <w:style w:type="paragraph" w:customStyle="1" w:styleId="148">
    <w:name w:val="1-表内"/>
    <w:basedOn w:val="1"/>
    <w:qFormat/>
    <w:uiPriority w:val="0"/>
    <w:rPr>
      <w:rFonts w:ascii="宋体" w:hAnsi="宋体"/>
      <w:szCs w:val="21"/>
    </w:rPr>
  </w:style>
  <w:style w:type="paragraph" w:customStyle="1" w:styleId="149">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0">
    <w:name w:val="Char Char Char Char Char Char Char Char Char Char Char Char1 Char Char Char Char"/>
    <w:basedOn w:val="1"/>
    <w:qFormat/>
    <w:uiPriority w:val="0"/>
    <w:rPr>
      <w:szCs w:val="24"/>
    </w:rPr>
  </w:style>
  <w:style w:type="character" w:customStyle="1" w:styleId="151">
    <w:name w:val="章节标题 Char Char"/>
    <w:basedOn w:val="53"/>
    <w:qFormat/>
    <w:uiPriority w:val="0"/>
    <w:rPr>
      <w:kern w:val="44"/>
      <w:sz w:val="44"/>
      <w:szCs w:val="44"/>
    </w:rPr>
  </w:style>
  <w:style w:type="paragraph" w:customStyle="1" w:styleId="152">
    <w:name w:val="Char Char Char Char Char Char1"/>
    <w:basedOn w:val="1"/>
    <w:qFormat/>
    <w:uiPriority w:val="0"/>
    <w:rPr>
      <w:szCs w:val="24"/>
    </w:rPr>
  </w:style>
  <w:style w:type="paragraph" w:customStyle="1" w:styleId="153">
    <w:name w:val="报告正文"/>
    <w:basedOn w:val="1"/>
    <w:qFormat/>
    <w:uiPriority w:val="0"/>
    <w:pPr>
      <w:spacing w:line="400" w:lineRule="exact"/>
      <w:ind w:firstLine="482"/>
    </w:pPr>
    <w:rPr>
      <w:lang w:bidi="he-IL"/>
    </w:rPr>
  </w:style>
  <w:style w:type="paragraph" w:customStyle="1" w:styleId="154">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5">
    <w:name w:val="Char Char Char2"/>
    <w:basedOn w:val="1"/>
    <w:qFormat/>
    <w:uiPriority w:val="0"/>
    <w:rPr>
      <w:szCs w:val="24"/>
    </w:rPr>
  </w:style>
  <w:style w:type="paragraph" w:customStyle="1" w:styleId="156">
    <w:name w:val="默认段落字体 Para Char Char Char Char"/>
    <w:basedOn w:val="1"/>
    <w:qFormat/>
    <w:uiPriority w:val="0"/>
    <w:rPr>
      <w:szCs w:val="24"/>
    </w:rPr>
  </w:style>
  <w:style w:type="paragraph" w:customStyle="1" w:styleId="157">
    <w:name w:val="Char Char1"/>
    <w:basedOn w:val="1"/>
    <w:qFormat/>
    <w:uiPriority w:val="0"/>
    <w:pPr>
      <w:adjustRightInd w:val="0"/>
      <w:spacing w:line="360" w:lineRule="atLeast"/>
      <w:jc w:val="left"/>
      <w:textAlignment w:val="baseline"/>
    </w:pPr>
    <w:rPr>
      <w:kern w:val="0"/>
      <w:sz w:val="24"/>
    </w:rPr>
  </w:style>
  <w:style w:type="character" w:customStyle="1" w:styleId="158">
    <w:name w:val="章节标题 Char"/>
    <w:qFormat/>
    <w:uiPriority w:val="0"/>
    <w:rPr>
      <w:rFonts w:eastAsia="宋体"/>
      <w:b/>
      <w:bCs/>
      <w:kern w:val="44"/>
      <w:sz w:val="44"/>
      <w:szCs w:val="44"/>
      <w:lang w:val="en-US" w:eastAsia="zh-CN" w:bidi="ar-SA"/>
    </w:rPr>
  </w:style>
  <w:style w:type="character" w:customStyle="1" w:styleId="159">
    <w:name w:val="标题 2 Char"/>
    <w:qFormat/>
    <w:uiPriority w:val="0"/>
    <w:rPr>
      <w:rFonts w:ascii="Arial" w:hAnsi="Arial" w:eastAsia="黑体"/>
      <w:b/>
      <w:bCs/>
      <w:kern w:val="2"/>
      <w:sz w:val="32"/>
      <w:szCs w:val="32"/>
      <w:lang w:val="en-US" w:eastAsia="zh-CN" w:bidi="ar-SA"/>
    </w:rPr>
  </w:style>
  <w:style w:type="character" w:customStyle="1" w:styleId="160">
    <w:name w:val="标题 3 Char"/>
    <w:qFormat/>
    <w:uiPriority w:val="0"/>
    <w:rPr>
      <w:rFonts w:eastAsia="宋体"/>
      <w:b/>
      <w:bCs/>
      <w:kern w:val="2"/>
      <w:sz w:val="32"/>
      <w:szCs w:val="32"/>
      <w:lang w:val="en-US" w:eastAsia="zh-CN" w:bidi="ar-SA"/>
    </w:rPr>
  </w:style>
  <w:style w:type="character" w:customStyle="1" w:styleId="161">
    <w:name w:val="标题 4 Char"/>
    <w:qFormat/>
    <w:uiPriority w:val="0"/>
    <w:rPr>
      <w:rFonts w:ascii="Arial" w:hAnsi="Arial" w:eastAsia="黑体"/>
      <w:b/>
      <w:bCs/>
      <w:kern w:val="2"/>
      <w:sz w:val="28"/>
      <w:szCs w:val="28"/>
      <w:lang w:val="en-US" w:eastAsia="zh-CN" w:bidi="ar-SA"/>
    </w:rPr>
  </w:style>
  <w:style w:type="character" w:customStyle="1" w:styleId="162">
    <w:name w:val="正文缩进 Char1"/>
    <w:qFormat/>
    <w:uiPriority w:val="0"/>
    <w:rPr>
      <w:rFonts w:eastAsia="宋体"/>
      <w:kern w:val="2"/>
      <w:sz w:val="21"/>
      <w:szCs w:val="24"/>
      <w:lang w:val="en-US" w:eastAsia="zh-CN" w:bidi="ar-SA"/>
    </w:rPr>
  </w:style>
  <w:style w:type="character" w:customStyle="1" w:styleId="163">
    <w:name w:val="标题 5 Char"/>
    <w:qFormat/>
    <w:uiPriority w:val="0"/>
    <w:rPr>
      <w:rFonts w:ascii="小标宋" w:eastAsia="宋体"/>
      <w:kern w:val="2"/>
      <w:sz w:val="24"/>
      <w:szCs w:val="24"/>
      <w:lang w:val="en-US" w:eastAsia="zh-CN" w:bidi="he-IL"/>
    </w:rPr>
  </w:style>
  <w:style w:type="character" w:customStyle="1" w:styleId="164">
    <w:name w:val="标题 6 Char"/>
    <w:qFormat/>
    <w:uiPriority w:val="0"/>
    <w:rPr>
      <w:rFonts w:ascii="Arial" w:hAnsi="Arial" w:eastAsia="黑体"/>
      <w:kern w:val="2"/>
      <w:sz w:val="24"/>
      <w:szCs w:val="24"/>
      <w:lang w:val="en-US" w:eastAsia="zh-CN" w:bidi="he-IL"/>
    </w:rPr>
  </w:style>
  <w:style w:type="character" w:customStyle="1" w:styleId="165">
    <w:name w:val="标题 7 Char"/>
    <w:qFormat/>
    <w:uiPriority w:val="0"/>
    <w:rPr>
      <w:rFonts w:ascii="宋体" w:eastAsia="宋体"/>
      <w:kern w:val="2"/>
      <w:sz w:val="24"/>
      <w:szCs w:val="24"/>
      <w:lang w:val="en-US" w:eastAsia="zh-CN" w:bidi="he-IL"/>
    </w:rPr>
  </w:style>
  <w:style w:type="character" w:customStyle="1" w:styleId="166">
    <w:name w:val="标题 9 Char"/>
    <w:qFormat/>
    <w:uiPriority w:val="0"/>
    <w:rPr>
      <w:rFonts w:ascii="Arial" w:hAnsi="Arial" w:eastAsia="黑体"/>
      <w:kern w:val="2"/>
      <w:sz w:val="21"/>
      <w:szCs w:val="21"/>
      <w:lang w:val="en-US" w:eastAsia="zh-CN" w:bidi="ar-SA"/>
    </w:rPr>
  </w:style>
  <w:style w:type="character" w:customStyle="1" w:styleId="167">
    <w:name w:val="日期 Char"/>
    <w:qFormat/>
    <w:uiPriority w:val="0"/>
    <w:rPr>
      <w:rFonts w:eastAsia="宋体"/>
      <w:kern w:val="2"/>
      <w:sz w:val="21"/>
      <w:szCs w:val="24"/>
      <w:lang w:val="en-US" w:eastAsia="zh-CN" w:bidi="ar-SA"/>
    </w:rPr>
  </w:style>
  <w:style w:type="character" w:customStyle="1" w:styleId="168">
    <w:name w:val="页眉 Char"/>
    <w:qFormat/>
    <w:uiPriority w:val="0"/>
    <w:rPr>
      <w:rFonts w:eastAsia="宋体"/>
      <w:kern w:val="2"/>
      <w:sz w:val="18"/>
      <w:szCs w:val="18"/>
      <w:lang w:val="en-US" w:eastAsia="zh-CN" w:bidi="ar-SA"/>
    </w:rPr>
  </w:style>
  <w:style w:type="character" w:customStyle="1" w:styleId="169">
    <w:name w:val="文档结构图 Char"/>
    <w:qFormat/>
    <w:uiPriority w:val="0"/>
    <w:rPr>
      <w:rFonts w:eastAsia="宋体"/>
      <w:sz w:val="21"/>
      <w:szCs w:val="21"/>
      <w:lang w:val="zh-CN" w:eastAsia="zh-CN" w:bidi="ar-SA"/>
    </w:rPr>
  </w:style>
  <w:style w:type="character" w:customStyle="1" w:styleId="170">
    <w:name w:val="正文文本 Char"/>
    <w:qFormat/>
    <w:uiPriority w:val="0"/>
    <w:rPr>
      <w:rFonts w:eastAsia="宋体"/>
      <w:sz w:val="24"/>
      <w:lang w:val="zh-CN" w:eastAsia="zh-CN" w:bidi="ar-SA"/>
    </w:rPr>
  </w:style>
  <w:style w:type="character" w:customStyle="1" w:styleId="171">
    <w:name w:val="样式2 Char1"/>
    <w:link w:val="147"/>
    <w:qFormat/>
    <w:uiPriority w:val="0"/>
    <w:rPr>
      <w:sz w:val="24"/>
    </w:rPr>
  </w:style>
  <w:style w:type="character" w:customStyle="1" w:styleId="172">
    <w:name w:val="正文文本缩进 Char"/>
    <w:qFormat/>
    <w:uiPriority w:val="0"/>
    <w:rPr>
      <w:rFonts w:eastAsia="宋体"/>
      <w:kern w:val="2"/>
      <w:sz w:val="21"/>
      <w:szCs w:val="24"/>
      <w:lang w:val="en-US" w:eastAsia="zh-CN" w:bidi="ar-SA"/>
    </w:rPr>
  </w:style>
  <w:style w:type="paragraph" w:customStyle="1" w:styleId="173">
    <w:name w:val="样式"/>
    <w:link w:val="174"/>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74">
    <w:name w:val="样式 Char"/>
    <w:link w:val="173"/>
    <w:qFormat/>
    <w:uiPriority w:val="0"/>
    <w:rPr>
      <w:rFonts w:ascii="宋体" w:hAnsi="宋体" w:cs="宋体"/>
      <w:sz w:val="24"/>
      <w:szCs w:val="24"/>
    </w:rPr>
  </w:style>
  <w:style w:type="character" w:customStyle="1" w:styleId="175">
    <w:name w:val="样式1 Char"/>
    <w:link w:val="132"/>
    <w:qFormat/>
    <w:uiPriority w:val="0"/>
    <w:rPr>
      <w:rFonts w:ascii="宋体"/>
      <w:sz w:val="24"/>
      <w:szCs w:val="24"/>
    </w:rPr>
  </w:style>
  <w:style w:type="character" w:customStyle="1" w:styleId="176">
    <w:name w:val="正文1 Char"/>
    <w:link w:val="131"/>
    <w:qFormat/>
    <w:uiPriority w:val="0"/>
    <w:rPr>
      <w:rFonts w:ascii="宋体"/>
      <w:sz w:val="24"/>
    </w:rPr>
  </w:style>
  <w:style w:type="character" w:customStyle="1" w:styleId="177">
    <w:name w:val="批注框文本 Char"/>
    <w:qFormat/>
    <w:uiPriority w:val="0"/>
    <w:rPr>
      <w:rFonts w:eastAsia="宋体"/>
      <w:kern w:val="2"/>
      <w:sz w:val="18"/>
      <w:szCs w:val="18"/>
      <w:lang w:val="en-US" w:eastAsia="zh-CN" w:bidi="ar-SA"/>
    </w:rPr>
  </w:style>
  <w:style w:type="character" w:customStyle="1" w:styleId="178">
    <w:name w:val="正文文本缩进 2 Char"/>
    <w:link w:val="179"/>
    <w:qFormat/>
    <w:uiPriority w:val="0"/>
    <w:rPr>
      <w:sz w:val="24"/>
    </w:rPr>
  </w:style>
  <w:style w:type="paragraph" w:customStyle="1" w:styleId="179">
    <w:name w:val="正文文本缩进 21"/>
    <w:basedOn w:val="1"/>
    <w:link w:val="178"/>
    <w:qFormat/>
    <w:uiPriority w:val="0"/>
    <w:pPr>
      <w:ind w:firstLine="840"/>
    </w:pPr>
    <w:rPr>
      <w:kern w:val="0"/>
      <w:sz w:val="24"/>
    </w:rPr>
  </w:style>
  <w:style w:type="character" w:customStyle="1" w:styleId="180">
    <w:name w:val="标书正文 Char Char"/>
    <w:link w:val="181"/>
    <w:qFormat/>
    <w:uiPriority w:val="0"/>
    <w:rPr>
      <w:kern w:val="2"/>
      <w:sz w:val="24"/>
      <w:szCs w:val="24"/>
    </w:rPr>
  </w:style>
  <w:style w:type="paragraph" w:customStyle="1" w:styleId="181">
    <w:name w:val="标书正文"/>
    <w:basedOn w:val="1"/>
    <w:link w:val="180"/>
    <w:qFormat/>
    <w:uiPriority w:val="0"/>
    <w:pPr>
      <w:spacing w:line="360" w:lineRule="auto"/>
      <w:ind w:firstLine="200" w:firstLineChars="200"/>
      <w:jc w:val="left"/>
    </w:pPr>
    <w:rPr>
      <w:sz w:val="24"/>
      <w:szCs w:val="24"/>
    </w:rPr>
  </w:style>
  <w:style w:type="character" w:customStyle="1" w:styleId="182">
    <w:name w:val="二级标题 Char Char"/>
    <w:link w:val="183"/>
    <w:qFormat/>
    <w:uiPriority w:val="0"/>
    <w:rPr>
      <w:rFonts w:ascii="宋体"/>
      <w:bCs/>
      <w:color w:val="000000"/>
      <w:sz w:val="24"/>
      <w:szCs w:val="24"/>
    </w:rPr>
  </w:style>
  <w:style w:type="paragraph" w:customStyle="1" w:styleId="183">
    <w:name w:val="二级标题"/>
    <w:basedOn w:val="1"/>
    <w:link w:val="182"/>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84">
    <w:name w:val="样式 标题 1b1章节标题章标题 1-*+h11st levelSection Headl1 + 四号 Char Char"/>
    <w:link w:val="185"/>
    <w:qFormat/>
    <w:uiPriority w:val="0"/>
    <w:rPr>
      <w:b/>
      <w:bCs/>
      <w:color w:val="000000"/>
      <w:kern w:val="44"/>
      <w:sz w:val="28"/>
      <w:szCs w:val="28"/>
    </w:rPr>
  </w:style>
  <w:style w:type="paragraph" w:customStyle="1" w:styleId="185">
    <w:name w:val="样式 标题 1b1章节标题章标题 1-*+h11st levelSection Headl1 + 四号"/>
    <w:basedOn w:val="186"/>
    <w:link w:val="184"/>
    <w:qFormat/>
    <w:uiPriority w:val="0"/>
    <w:pPr>
      <w:tabs>
        <w:tab w:val="left" w:leader="dot" w:pos="0"/>
        <w:tab w:val="left" w:pos="900"/>
      </w:tabs>
      <w:spacing w:before="0"/>
      <w:ind w:left="0" w:firstLine="0"/>
    </w:pPr>
    <w:rPr>
      <w:bCs/>
      <w:color w:val="000000"/>
      <w:szCs w:val="28"/>
    </w:rPr>
  </w:style>
  <w:style w:type="paragraph" w:customStyle="1" w:styleId="186">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87">
    <w:name w:val="YJB1 Char Char"/>
    <w:link w:val="188"/>
    <w:qFormat/>
    <w:uiPriority w:val="0"/>
    <w:rPr>
      <w:rFonts w:ascii="Arial" w:hAnsi="Arial"/>
      <w:kern w:val="2"/>
      <w:sz w:val="24"/>
      <w:szCs w:val="24"/>
    </w:rPr>
  </w:style>
  <w:style w:type="paragraph" w:customStyle="1" w:styleId="188">
    <w:name w:val="YJB1"/>
    <w:basedOn w:val="1"/>
    <w:link w:val="187"/>
    <w:qFormat/>
    <w:uiPriority w:val="0"/>
    <w:pPr>
      <w:spacing w:line="360" w:lineRule="auto"/>
      <w:ind w:left="450" w:leftChars="450"/>
    </w:pPr>
    <w:rPr>
      <w:rFonts w:ascii="Arial" w:hAnsi="Arial"/>
      <w:sz w:val="24"/>
      <w:szCs w:val="24"/>
    </w:rPr>
  </w:style>
  <w:style w:type="character" w:customStyle="1" w:styleId="189">
    <w:name w:val="YJB2 Char Char"/>
    <w:link w:val="190"/>
    <w:qFormat/>
    <w:uiPriority w:val="0"/>
    <w:rPr>
      <w:rFonts w:ascii="Arial" w:hAnsi="Arial"/>
      <w:kern w:val="2"/>
      <w:sz w:val="24"/>
      <w:szCs w:val="24"/>
    </w:rPr>
  </w:style>
  <w:style w:type="paragraph" w:customStyle="1" w:styleId="190">
    <w:name w:val="YJB2"/>
    <w:basedOn w:val="1"/>
    <w:link w:val="189"/>
    <w:qFormat/>
    <w:uiPriority w:val="0"/>
    <w:pPr>
      <w:spacing w:line="360" w:lineRule="auto"/>
      <w:ind w:left="450" w:hanging="450" w:hangingChars="450"/>
    </w:pPr>
    <w:rPr>
      <w:rFonts w:ascii="Arial" w:hAnsi="Arial"/>
      <w:sz w:val="24"/>
      <w:szCs w:val="24"/>
    </w:rPr>
  </w:style>
  <w:style w:type="character" w:customStyle="1" w:styleId="191">
    <w:name w:val="样式 标题 1章节标题 + 三号 Char Char"/>
    <w:link w:val="192"/>
    <w:qFormat/>
    <w:uiPriority w:val="0"/>
    <w:rPr>
      <w:b/>
      <w:bCs/>
      <w:kern w:val="44"/>
      <w:sz w:val="32"/>
      <w:szCs w:val="44"/>
    </w:rPr>
  </w:style>
  <w:style w:type="paragraph" w:customStyle="1" w:styleId="192">
    <w:name w:val="样式 标题 1章节标题 + 三号"/>
    <w:basedOn w:val="2"/>
    <w:link w:val="191"/>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193">
    <w:name w:val="正文文本缩进 22"/>
    <w:basedOn w:val="1"/>
    <w:qFormat/>
    <w:uiPriority w:val="0"/>
    <w:pPr>
      <w:ind w:firstLine="840"/>
    </w:pPr>
    <w:rPr>
      <w:kern w:val="0"/>
      <w:sz w:val="24"/>
      <w:lang w:val="zh-CN"/>
    </w:rPr>
  </w:style>
  <w:style w:type="paragraph" w:customStyle="1" w:styleId="194">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195">
    <w:name w:val="正文文本 3 字符"/>
    <w:basedOn w:val="53"/>
    <w:link w:val="19"/>
    <w:qFormat/>
    <w:uiPriority w:val="0"/>
    <w:rPr>
      <w:kern w:val="2"/>
      <w:sz w:val="16"/>
      <w:szCs w:val="16"/>
    </w:rPr>
  </w:style>
  <w:style w:type="character" w:customStyle="1" w:styleId="196">
    <w:name w:val="信息标题 字符"/>
    <w:basedOn w:val="53"/>
    <w:link w:val="43"/>
    <w:qFormat/>
    <w:uiPriority w:val="0"/>
    <w:rPr>
      <w:rFonts w:ascii="Arial" w:hAnsi="Arial"/>
      <w:spacing w:val="-5"/>
    </w:rPr>
  </w:style>
  <w:style w:type="paragraph" w:customStyle="1" w:styleId="197">
    <w:name w:val="日期2"/>
    <w:basedOn w:val="1"/>
    <w:next w:val="1"/>
    <w:qFormat/>
    <w:uiPriority w:val="0"/>
    <w:pPr>
      <w:adjustRightInd w:val="0"/>
      <w:spacing w:line="312" w:lineRule="atLeast"/>
      <w:textAlignment w:val="baseline"/>
    </w:pPr>
    <w:rPr>
      <w:kern w:val="0"/>
      <w:sz w:val="28"/>
      <w:szCs w:val="28"/>
    </w:rPr>
  </w:style>
  <w:style w:type="paragraph" w:customStyle="1" w:styleId="198">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199">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0">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2">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03">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04">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0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0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9">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0">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11">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12">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13">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14">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15">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16">
    <w:name w:val="Char2"/>
    <w:basedOn w:val="1"/>
    <w:qFormat/>
    <w:uiPriority w:val="0"/>
    <w:pPr>
      <w:adjustRightInd w:val="0"/>
      <w:spacing w:line="360" w:lineRule="atLeast"/>
    </w:pPr>
    <w:rPr>
      <w:szCs w:val="24"/>
    </w:rPr>
  </w:style>
  <w:style w:type="paragraph" w:customStyle="1" w:styleId="217">
    <w:name w:val="列出段落"/>
    <w:basedOn w:val="1"/>
    <w:qFormat/>
    <w:uiPriority w:val="0"/>
    <w:pPr>
      <w:ind w:firstLine="420" w:firstLineChars="200"/>
    </w:pPr>
    <w:rPr>
      <w:rFonts w:ascii="Calibri" w:hAnsi="Calibri"/>
      <w:szCs w:val="22"/>
    </w:rPr>
  </w:style>
  <w:style w:type="paragraph" w:customStyle="1" w:styleId="218">
    <w:name w:val="TOC 标题1"/>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19">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0">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21">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22">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23">
    <w:name w:val="Char Char Char Char Char Char Char1"/>
    <w:basedOn w:val="1"/>
    <w:qFormat/>
    <w:uiPriority w:val="0"/>
    <w:rPr>
      <w:szCs w:val="24"/>
    </w:rPr>
  </w:style>
  <w:style w:type="paragraph" w:customStyle="1" w:styleId="224">
    <w:name w:val="Char Char Char Char Char Char Char Char Char1"/>
    <w:basedOn w:val="1"/>
    <w:qFormat/>
    <w:uiPriority w:val="0"/>
    <w:rPr>
      <w:szCs w:val="24"/>
    </w:rPr>
  </w:style>
  <w:style w:type="paragraph" w:customStyle="1" w:styleId="225">
    <w:name w:val="纯文本3"/>
    <w:basedOn w:val="1"/>
    <w:qFormat/>
    <w:uiPriority w:val="0"/>
    <w:pPr>
      <w:adjustRightInd w:val="0"/>
      <w:textAlignment w:val="baseline"/>
    </w:pPr>
    <w:rPr>
      <w:rFonts w:ascii="宋体" w:hAnsi="Courier New"/>
    </w:rPr>
  </w:style>
  <w:style w:type="paragraph" w:customStyle="1" w:styleId="226">
    <w:name w:val="样式20"/>
    <w:basedOn w:val="46"/>
    <w:next w:val="46"/>
    <w:qFormat/>
    <w:uiPriority w:val="0"/>
    <w:pPr>
      <w:spacing w:line="360" w:lineRule="auto"/>
      <w:jc w:val="both"/>
      <w:textAlignment w:val="auto"/>
    </w:pPr>
  </w:style>
  <w:style w:type="paragraph" w:customStyle="1" w:styleId="227">
    <w:name w:val="Char Char Char Char Char Char Char Char Char Char Char Char Char1"/>
    <w:basedOn w:val="1"/>
    <w:qFormat/>
    <w:uiPriority w:val="0"/>
    <w:rPr>
      <w:szCs w:val="24"/>
    </w:rPr>
  </w:style>
  <w:style w:type="paragraph" w:customStyle="1" w:styleId="228">
    <w:name w:val="Char1 Char Char Char1"/>
    <w:basedOn w:val="1"/>
    <w:semiHidden/>
    <w:qFormat/>
    <w:uiPriority w:val="0"/>
    <w:pPr>
      <w:snapToGrid w:val="0"/>
      <w:spacing w:line="440" w:lineRule="atLeast"/>
    </w:pPr>
    <w:rPr>
      <w:rFonts w:ascii="宋体"/>
      <w:sz w:val="24"/>
      <w:szCs w:val="24"/>
    </w:rPr>
  </w:style>
  <w:style w:type="paragraph" w:customStyle="1" w:styleId="229">
    <w:name w:val="TOC 标题11"/>
    <w:next w:val="1"/>
    <w:autoRedefine/>
    <w:unhideWhenUsed/>
    <w:qFormat/>
    <w:uiPriority w:val="39"/>
    <w:pPr>
      <w:keepNext/>
      <w:keepLines/>
      <w:widowControl w:val="0"/>
      <w:spacing w:before="340" w:after="330" w:line="578" w:lineRule="auto"/>
      <w:jc w:val="both"/>
    </w:pPr>
    <w:rPr>
      <w:rFonts w:ascii="Times New Roman" w:hAnsi="Times New Roman" w:eastAsia="宋体" w:cs="Times New Roman"/>
      <w:b/>
      <w:bCs/>
      <w:kern w:val="44"/>
      <w:sz w:val="44"/>
      <w:szCs w:val="44"/>
      <w:lang w:val="en-US" w:eastAsia="zh-CN" w:bidi="ar-SA"/>
    </w:rPr>
  </w:style>
  <w:style w:type="paragraph" w:customStyle="1" w:styleId="230">
    <w:name w:val="WPSOffice手动目录 1"/>
    <w:autoRedefine/>
    <w:qFormat/>
    <w:uiPriority w:val="0"/>
    <w:rPr>
      <w:rFonts w:asciiTheme="minorHAnsi" w:hAnsiTheme="minorHAnsi" w:eastAsiaTheme="minorEastAsia" w:cstheme="minorBidi"/>
      <w:lang w:val="en-US" w:eastAsia="zh-CN" w:bidi="ar-SA"/>
    </w:rPr>
  </w:style>
  <w:style w:type="character" w:customStyle="1" w:styleId="231">
    <w:name w:val="正文文本首行缩进 2 字符"/>
    <w:basedOn w:val="86"/>
    <w:link w:val="50"/>
    <w:qFormat/>
    <w:uiPriority w:val="0"/>
    <w:rPr>
      <w:rFonts w:eastAsia="仿宋_GB2312"/>
      <w:kern w:val="2"/>
      <w:sz w:val="30"/>
      <w:szCs w:val="24"/>
    </w:rPr>
  </w:style>
  <w:style w:type="table" w:customStyle="1" w:styleId="232">
    <w:name w:val="Table Normal"/>
    <w:autoRedefine/>
    <w:unhideWhenUsed/>
    <w:qFormat/>
    <w:uiPriority w:val="0"/>
    <w:tblPr>
      <w:tblCellMar>
        <w:top w:w="0" w:type="dxa"/>
        <w:left w:w="0" w:type="dxa"/>
        <w:bottom w:w="0" w:type="dxa"/>
        <w:right w:w="0" w:type="dxa"/>
      </w:tblCellMar>
    </w:tblPr>
  </w:style>
  <w:style w:type="paragraph" w:customStyle="1" w:styleId="233">
    <w:name w:val="Table Text"/>
    <w:basedOn w:val="1"/>
    <w:autoRedefine/>
    <w:semiHidden/>
    <w:qFormat/>
    <w:uiPriority w:val="0"/>
    <w:pPr>
      <w:widowControl/>
      <w:jc w:val="left"/>
    </w:pPr>
    <w:rPr>
      <w:rFonts w:eastAsia="Times New Roman"/>
      <w:spacing w:val="-6"/>
      <w:kern w:val="0"/>
      <w:sz w:val="20"/>
      <w:lang w:eastAsia="en-US"/>
    </w:rPr>
  </w:style>
  <w:style w:type="paragraph" w:styleId="234">
    <w:name w:val="No Spacing"/>
    <w:autoRedefine/>
    <w:qFormat/>
    <w:uiPriority w:val="1"/>
    <w:pPr>
      <w:adjustRightInd w:val="0"/>
      <w:snapToGrid w:val="0"/>
    </w:pPr>
    <w:rPr>
      <w:rFonts w:ascii="Tahoma" w:hAnsi="Tahoma" w:eastAsia="微软雅黑" w:cstheme="minorBidi"/>
      <w:sz w:val="22"/>
      <w:szCs w:val="22"/>
      <w:lang w:val="en-US" w:eastAsia="zh-CN" w:bidi="ar-SA"/>
    </w:rPr>
  </w:style>
  <w:style w:type="paragraph" w:customStyle="1" w:styleId="235">
    <w:name w:val="引言二级条标题"/>
    <w:basedOn w:val="236"/>
    <w:next w:val="237"/>
    <w:autoRedefine/>
    <w:qFormat/>
    <w:uiPriority w:val="99"/>
    <w:pPr>
      <w:tabs>
        <w:tab w:val="left" w:pos="1140"/>
      </w:tabs>
    </w:pPr>
  </w:style>
  <w:style w:type="paragraph" w:customStyle="1" w:styleId="236">
    <w:name w:val="引言一级条标题"/>
    <w:basedOn w:val="1"/>
    <w:next w:val="237"/>
    <w:autoRedefine/>
    <w:qFormat/>
    <w:uiPriority w:val="99"/>
    <w:pPr>
      <w:widowControl/>
      <w:tabs>
        <w:tab w:val="left" w:pos="1140"/>
      </w:tabs>
      <w:jc w:val="left"/>
    </w:pPr>
    <w:rPr>
      <w:rFonts w:eastAsia="黑体" w:cs="宋体"/>
      <w:b/>
      <w:bCs/>
      <w:spacing w:val="-6"/>
      <w:kern w:val="0"/>
      <w:sz w:val="24"/>
      <w:szCs w:val="21"/>
    </w:rPr>
  </w:style>
  <w:style w:type="paragraph" w:customStyle="1" w:styleId="237">
    <w:name w:val="段"/>
    <w:basedOn w:val="1"/>
    <w:autoRedefine/>
    <w:qFormat/>
    <w:uiPriority w:val="0"/>
    <w:pPr>
      <w:widowControl/>
      <w:tabs>
        <w:tab w:val="left" w:pos="425"/>
        <w:tab w:val="left" w:pos="1637"/>
      </w:tabs>
      <w:spacing w:line="360" w:lineRule="auto"/>
      <w:ind w:left="425" w:hanging="425"/>
    </w:pPr>
    <w:rPr>
      <w:rFonts w:eastAsia="隶书" w:cs="宋体"/>
      <w:b/>
      <w:spacing w:val="-6"/>
      <w:kern w:val="0"/>
      <w:sz w:val="24"/>
      <w:szCs w:val="24"/>
    </w:rPr>
  </w:style>
  <w:style w:type="paragraph" w:customStyle="1" w:styleId="238">
    <w:name w:val="Default"/>
    <w:autoRedefine/>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character" w:customStyle="1" w:styleId="239">
    <w:name w:val="font21"/>
    <w:basedOn w:val="53"/>
    <w:autoRedefine/>
    <w:qFormat/>
    <w:uiPriority w:val="0"/>
    <w:rPr>
      <w:rFonts w:hint="default" w:ascii="Times New Roman" w:hAnsi="Times New Roman" w:cs="Times New Roman"/>
      <w:color w:val="000000"/>
      <w:sz w:val="24"/>
      <w:szCs w:val="24"/>
      <w:u w:val="none"/>
    </w:rPr>
  </w:style>
  <w:style w:type="paragraph" w:customStyle="1" w:styleId="240">
    <w:name w:val="_Style 28"/>
    <w:basedOn w:val="1"/>
    <w:next w:val="39"/>
    <w:autoRedefine/>
    <w:qFormat/>
    <w:uiPriority w:val="0"/>
    <w:pPr>
      <w:widowControl/>
      <w:spacing w:line="360" w:lineRule="auto"/>
      <w:ind w:firstLine="840" w:firstLineChars="350"/>
      <w:jc w:val="left"/>
      <w:textAlignment w:val="baseline"/>
    </w:pPr>
    <w:rPr>
      <w:rFonts w:cs="宋体"/>
      <w:color w:val="000000"/>
      <w:spacing w:val="-6"/>
      <w:kern w:val="0"/>
      <w:sz w:val="24"/>
      <w:szCs w:val="24"/>
    </w:rPr>
  </w:style>
  <w:style w:type="character" w:customStyle="1" w:styleId="241">
    <w:name w:val="15"/>
    <w:basedOn w:val="53"/>
    <w:qFormat/>
    <w:uiPriority w:val="0"/>
    <w:rPr>
      <w:rFonts w:hint="default" w:ascii="Times New Roman" w:hAnsi="Times New Roman" w:cs="Times New Roman"/>
    </w:rPr>
  </w:style>
  <w:style w:type="paragraph" w:customStyle="1" w:styleId="242">
    <w:name w:val="修订1"/>
    <w:hidden/>
    <w:unhideWhenUsed/>
    <w:qFormat/>
    <w:uiPriority w:val="99"/>
    <w:rPr>
      <w:rFonts w:ascii="Times New Roman" w:hAnsi="Times New Roman" w:eastAsia="宋体" w:cs="宋体"/>
      <w:spacing w:val="-6"/>
      <w:sz w:val="24"/>
      <w:szCs w:val="24"/>
      <w:lang w:val="en-US" w:eastAsia="zh-CN" w:bidi="ar-SA"/>
    </w:rPr>
  </w:style>
  <w:style w:type="paragraph" w:customStyle="1" w:styleId="243">
    <w:name w:val="_paragraph_lzhxo_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4">
    <w:name w:val="*正文_0"/>
    <w:basedOn w:val="1"/>
    <w:next w:val="1"/>
    <w:qFormat/>
    <w:uiPriority w:val="0"/>
    <w:pPr>
      <w:widowControl/>
      <w:ind w:firstLine="482"/>
    </w:pPr>
    <w:rPr>
      <w:rFonts w:ascii="微软雅黑" w:hAnsi="微软雅黑" w:eastAsia="微软雅黑"/>
      <w:kern w:val="0"/>
    </w:rPr>
  </w:style>
  <w:style w:type="paragraph" w:customStyle="1" w:styleId="245">
    <w:name w:val="ÕýÎÄ"/>
    <w:qFormat/>
    <w:uiPriority w:val="0"/>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sz w:val="22"/>
      <w:lang w:val="en-US" w:eastAsia="zh-CN" w:bidi="ar-SA"/>
    </w:rPr>
  </w:style>
  <w:style w:type="paragraph" w:customStyle="1" w:styleId="246">
    <w:name w:val="BlockQuote"/>
    <w:qFormat/>
    <w:uiPriority w:val="0"/>
    <w:pPr>
      <w:snapToGrid w:val="0"/>
      <w:spacing w:line="408" w:lineRule="auto"/>
      <w:ind w:left="-113" w:right="-510" w:firstLine="510"/>
      <w:jc w:val="both"/>
      <w:textAlignment w:val="baseline"/>
    </w:pPr>
    <w:rPr>
      <w:rFonts w:ascii="Calibri" w:hAnsi="Calibri" w:eastAsia="宋体" w:cs="Times New Roman"/>
      <w:kern w:val="2"/>
      <w:sz w:val="24"/>
      <w:lang w:val="en-US" w:eastAsia="zh-CN" w:bidi="ar-SA"/>
    </w:rPr>
  </w:style>
  <w:style w:type="paragraph" w:customStyle="1" w:styleId="24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48">
    <w:name w:val="Table Paragraph"/>
    <w:basedOn w:val="1"/>
    <w:qFormat/>
    <w:uiPriority w:val="1"/>
    <w:pPr>
      <w:adjustRightInd w:val="0"/>
      <w:spacing w:line="360" w:lineRule="atLeast"/>
      <w:jc w:val="left"/>
      <w:textAlignment w:val="baseline"/>
    </w:pPr>
    <w:rPr>
      <w:rFonts w:ascii="宋体" w:hAnsi="宋体" w:cs="宋体"/>
      <w:kern w:val="0"/>
      <w:sz w:val="24"/>
      <w:lang w:val="zh-CN" w:bidi="zh-CN"/>
    </w:rPr>
  </w:style>
  <w:style w:type="character" w:customStyle="1" w:styleId="249">
    <w:name w:val="fontstyle01"/>
    <w:basedOn w:val="53"/>
    <w:qFormat/>
    <w:uiPriority w:val="0"/>
    <w:rPr>
      <w:rFonts w:ascii="宋体" w:hAnsi="宋体" w:eastAsia="宋体" w:cs="宋体"/>
      <w:color w:val="000000"/>
      <w:sz w:val="22"/>
      <w:szCs w:val="22"/>
    </w:rPr>
  </w:style>
  <w:style w:type="character" w:customStyle="1" w:styleId="250">
    <w:name w:val="font01"/>
    <w:basedOn w:val="53"/>
    <w:qFormat/>
    <w:uiPriority w:val="0"/>
    <w:rPr>
      <w:rFonts w:hint="eastAsia" w:ascii="宋体" w:hAnsi="宋体" w:eastAsia="宋体" w:cs="宋体"/>
      <w:color w:val="000000"/>
      <w:sz w:val="24"/>
      <w:szCs w:val="24"/>
      <w:u w:val="none"/>
    </w:rPr>
  </w:style>
  <w:style w:type="character" w:customStyle="1" w:styleId="251">
    <w:name w:val="NormalCharacter"/>
    <w:unhideWhenUsed/>
    <w:qFormat/>
    <w:uiPriority w:val="0"/>
    <w:rPr>
      <w:rFonts w:hint="default" w:ascii="Calibri" w:hAnsi="Calibri" w:eastAsia="宋体" w:cs="Times New Roman"/>
      <w:kern w:val="2"/>
      <w:sz w:val="21"/>
      <w:szCs w:val="24"/>
      <w:lang w:val="en-US" w:eastAsia="zh-CN" w:bidi="ar"/>
    </w:rPr>
  </w:style>
  <w:style w:type="paragraph" w:customStyle="1" w:styleId="252">
    <w:name w:val="列表段落1"/>
    <w:basedOn w:val="1"/>
    <w:qFormat/>
    <w:uiPriority w:val="0"/>
    <w:pPr>
      <w:spacing w:line="360" w:lineRule="auto"/>
      <w:ind w:firstLine="420"/>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D15605-1265-4618-B2A2-632B0CBA8B74}">
  <ds:schemaRefs/>
</ds:datastoreItem>
</file>

<file path=docProps/app.xml><?xml version="1.0" encoding="utf-8"?>
<Properties xmlns="http://schemas.openxmlformats.org/officeDocument/2006/extended-properties" xmlns:vt="http://schemas.openxmlformats.org/officeDocument/2006/docPropsVTypes">
  <Template>Normal</Template>
  <Pages>23</Pages>
  <Words>3764</Words>
  <Characters>4057</Characters>
  <Lines>339</Lines>
  <Paragraphs>95</Paragraphs>
  <TotalTime>7</TotalTime>
  <ScaleCrop>false</ScaleCrop>
  <LinksUpToDate>false</LinksUpToDate>
  <CharactersWithSpaces>4150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小李</cp:lastModifiedBy>
  <cp:lastPrinted>2025-12-09T02:48:00Z</cp:lastPrinted>
  <dcterms:modified xsi:type="dcterms:W3CDTF">2026-05-14T02:14:20Z</dcterms:modified>
  <dc:title>一、标书制作要求：</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eyJoZGlkIjoiYTNkNWExZmE2MzcyMDI2NjhkMzgxNTk3MTBkMDE1NzMiLCJ1c2VySWQiOiI3MjExMzM3MjcifQ==</vt:lpwstr>
  </property>
  <property fmtid="{D5CDD505-2E9C-101B-9397-08002B2CF9AE}" pid="4" name="ICV">
    <vt:lpwstr>FA861E7DEC0441E395A9AA8339CD0807_12</vt:lpwstr>
  </property>
</Properties>
</file>