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388A49AB">
      <w:pPr>
        <w:spacing w:line="460" w:lineRule="exact"/>
        <w:jc w:val="left"/>
        <w:rPr>
          <w:rFonts w:hint="eastAsia"/>
          <w:lang w:eastAsia="zh-CN"/>
        </w:rPr>
      </w:pPr>
      <w:r>
        <w:rPr>
          <w:rFonts w:hint="eastAsia" w:ascii="仿宋" w:hAnsi="仿宋" w:eastAsia="仿宋"/>
          <w:sz w:val="28"/>
          <w:szCs w:val="28"/>
        </w:rPr>
        <w:t>各相关单位：</w:t>
      </w:r>
    </w:p>
    <w:p w14:paraId="4CA4D518">
      <w:pPr>
        <w:widowControl w:val="0"/>
        <w:snapToGrid/>
        <w:spacing w:after="0" w:line="360" w:lineRule="auto"/>
        <w:ind w:firstLine="560" w:firstLineChars="200"/>
        <w:jc w:val="both"/>
        <w:textAlignment w:val="baseline"/>
        <w:rPr>
          <w:rFonts w:ascii="仿宋" w:hAnsi="仿宋" w:eastAsia="仿宋"/>
          <w:sz w:val="28"/>
          <w:szCs w:val="28"/>
        </w:rPr>
      </w:pPr>
      <w:r>
        <w:rPr>
          <w:rFonts w:hint="eastAsia" w:ascii="仿宋" w:hAnsi="仿宋" w:eastAsia="仿宋"/>
          <w:sz w:val="28"/>
          <w:szCs w:val="28"/>
        </w:rPr>
        <w:t>万基控股集团有限公司招标办公室拟对宏远电</w:t>
      </w:r>
      <w:r>
        <w:rPr>
          <w:rFonts w:hint="eastAsia" w:ascii="仿宋" w:hAnsi="仿宋" w:eastAsia="仿宋" w:cs="Times New Roman"/>
          <w:sz w:val="28"/>
          <w:szCs w:val="28"/>
        </w:rPr>
        <w:t>力#2机组循环水泵变频改造项目</w:t>
      </w:r>
      <w:r>
        <w:rPr>
          <w:rFonts w:hint="eastAsia" w:ascii="仿宋" w:hAnsi="仿宋" w:eastAsia="仿宋" w:cs="Times New Roman"/>
          <w:sz w:val="28"/>
          <w:szCs w:val="28"/>
          <w:lang w:val="en-US" w:eastAsia="zh-CN"/>
        </w:rPr>
        <w:t>Ⅱ</w:t>
      </w:r>
      <w:r>
        <w:rPr>
          <w:rFonts w:hint="eastAsia" w:ascii="仿宋" w:hAnsi="仿宋" w:eastAsia="仿宋"/>
          <w:sz w:val="28"/>
          <w:szCs w:val="28"/>
        </w:rPr>
        <w:t>进行招标【招标编号：WJWZ-(2026)040</w:t>
      </w:r>
      <w:r>
        <w:rPr>
          <w:rFonts w:hint="eastAsia" w:ascii="仿宋" w:hAnsi="仿宋" w:eastAsia="仿宋"/>
          <w:sz w:val="28"/>
          <w:szCs w:val="28"/>
          <w:lang w:val="en-US" w:eastAsia="zh-CN"/>
        </w:rPr>
        <w:t>30</w:t>
      </w:r>
      <w:r>
        <w:rPr>
          <w:rFonts w:hint="eastAsia" w:ascii="仿宋" w:hAnsi="仿宋" w:eastAsia="仿宋"/>
          <w:sz w:val="28"/>
          <w:szCs w:val="28"/>
        </w:rPr>
        <w:t>】，有意参标单位请在</w:t>
      </w: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5</w:t>
      </w:r>
      <w:r>
        <w:rPr>
          <w:rFonts w:hint="eastAsia"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不接受未通过资质审核、未按时缴纳投标保证金单位的投标文件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5</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下午3时</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日下午</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时</w:t>
      </w:r>
    </w:p>
    <w:p w14:paraId="489774FF">
      <w:pPr>
        <w:spacing w:line="4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招标：</w:t>
      </w:r>
      <w:r>
        <w:rPr>
          <w:rFonts w:hint="eastAsia" w:ascii="仿宋" w:hAnsi="仿宋" w:eastAsia="仿宋"/>
          <w:sz w:val="28"/>
          <w:szCs w:val="28"/>
          <w:lang w:val="en-US" w:eastAsia="zh-CN"/>
        </w:rPr>
        <w:t>郭帅</w:t>
      </w:r>
      <w:r>
        <w:rPr>
          <w:rFonts w:hint="eastAsia" w:ascii="仿宋" w:hAnsi="仿宋" w:eastAsia="仿宋"/>
          <w:sz w:val="28"/>
          <w:szCs w:val="28"/>
        </w:rPr>
        <w:t xml:space="preserve"> 15</w:t>
      </w:r>
      <w:r>
        <w:rPr>
          <w:rFonts w:hint="eastAsia" w:ascii="仿宋" w:hAnsi="仿宋" w:eastAsia="仿宋"/>
          <w:sz w:val="28"/>
          <w:szCs w:val="28"/>
          <w:lang w:val="en-US" w:eastAsia="zh-CN"/>
        </w:rPr>
        <w:t>8 0379 9052</w:t>
      </w:r>
      <w:r>
        <w:rPr>
          <w:rFonts w:ascii="仿宋" w:hAnsi="仿宋" w:eastAsia="仿宋"/>
          <w:sz w:val="28"/>
          <w:szCs w:val="28"/>
        </w:rPr>
        <w:t xml:space="preserve">  </w:t>
      </w:r>
      <w:r>
        <w:rPr>
          <w:rFonts w:hint="eastAsia" w:ascii="仿宋" w:hAnsi="仿宋" w:eastAsia="仿宋"/>
          <w:sz w:val="28"/>
          <w:szCs w:val="28"/>
        </w:rPr>
        <w:t>技术：</w:t>
      </w:r>
      <w:r>
        <w:rPr>
          <w:rFonts w:hint="eastAsia" w:ascii="仿宋" w:hAnsi="仿宋" w:eastAsia="仿宋" w:cs="Times New Roman"/>
          <w:sz w:val="28"/>
          <w:szCs w:val="28"/>
          <w:lang w:val="en-US" w:eastAsia="zh-CN"/>
        </w:rPr>
        <w:t>柴阿吉  136 9380 5623</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58C94725">
      <w:pPr>
        <w:spacing w:line="4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1、招标方式：公开招标。</w:t>
      </w:r>
      <w:r>
        <w:rPr>
          <w:rFonts w:hint="eastAsia" w:ascii="仿宋" w:hAnsi="仿宋" w:eastAsia="仿宋"/>
          <w:b/>
          <w:color w:val="FF0000"/>
          <w:sz w:val="28"/>
          <w:szCs w:val="28"/>
        </w:rPr>
        <w:t>本次招标采用一次性报价、现场开标</w:t>
      </w:r>
      <w:r>
        <w:rPr>
          <w:rFonts w:hint="eastAsia" w:ascii="仿宋" w:hAnsi="仿宋" w:eastAsia="仿宋"/>
          <w:color w:val="000000"/>
          <w:sz w:val="28"/>
          <w:szCs w:val="28"/>
        </w:rPr>
        <w:t>的方式开标。参与投标，即视同完全响应招标文件</w:t>
      </w:r>
      <w:r>
        <w:rPr>
          <w:rFonts w:hint="eastAsia" w:ascii="仿宋" w:hAnsi="仿宋" w:eastAsia="仿宋"/>
          <w:color w:val="000000"/>
          <w:sz w:val="28"/>
          <w:szCs w:val="28"/>
          <w:lang w:eastAsia="zh-CN"/>
        </w:rPr>
        <w:t>。</w:t>
      </w:r>
    </w:p>
    <w:p w14:paraId="2E47AB15">
      <w:pPr>
        <w:spacing w:line="460" w:lineRule="exact"/>
        <w:ind w:firstLine="560" w:firstLineChars="200"/>
        <w:rPr>
          <w:rFonts w:ascii="仿宋" w:hAnsi="仿宋" w:eastAsia="仿宋"/>
          <w:sz w:val="28"/>
          <w:szCs w:val="28"/>
        </w:rPr>
      </w:pPr>
      <w:r>
        <w:rPr>
          <w:rFonts w:hint="eastAsia" w:ascii="仿宋" w:hAnsi="仿宋" w:eastAsia="仿宋"/>
          <w:sz w:val="28"/>
          <w:szCs w:val="28"/>
        </w:rPr>
        <w:t>投标人应编制投标文件正本1份和副本</w:t>
      </w:r>
      <w:r>
        <w:rPr>
          <w:rFonts w:hint="eastAsia" w:ascii="仿宋" w:hAnsi="仿宋" w:eastAsia="仿宋"/>
          <w:sz w:val="28"/>
          <w:szCs w:val="28"/>
          <w:lang w:val="en-US" w:eastAsia="zh-CN"/>
        </w:rPr>
        <w:t>1</w:t>
      </w:r>
      <w:r>
        <w:rPr>
          <w:rFonts w:hint="eastAsia" w:ascii="仿宋" w:hAnsi="仿宋" w:eastAsia="仿宋"/>
          <w:sz w:val="28"/>
          <w:szCs w:val="28"/>
        </w:rPr>
        <w:t>份，每套投标文件须清楚地标明“正本”或“副本”。若正本和副本不符，以正本为准。详细分项报价做入标书商务卷，</w:t>
      </w:r>
      <w:r>
        <w:rPr>
          <w:rFonts w:hint="eastAsia" w:ascii="仿宋" w:hAnsi="仿宋" w:eastAsia="仿宋"/>
          <w:b/>
          <w:color w:val="FF0000"/>
          <w:sz w:val="28"/>
          <w:szCs w:val="28"/>
        </w:rPr>
        <w:t>投标报价单（见附件）</w:t>
      </w:r>
      <w:r>
        <w:rPr>
          <w:rFonts w:hint="eastAsia" w:ascii="仿宋" w:hAnsi="仿宋" w:eastAsia="仿宋"/>
          <w:sz w:val="28"/>
          <w:szCs w:val="28"/>
        </w:rPr>
        <w:t>请</w:t>
      </w:r>
      <w:r>
        <w:rPr>
          <w:rFonts w:hint="eastAsia" w:ascii="仿宋" w:hAnsi="仿宋" w:eastAsia="仿宋"/>
          <w:b/>
          <w:color w:val="FF0000"/>
          <w:sz w:val="28"/>
          <w:szCs w:val="28"/>
          <w:u w:val="single"/>
        </w:rPr>
        <w:t>单独密封于档案袋</w:t>
      </w:r>
      <w:r>
        <w:rPr>
          <w:rFonts w:hint="eastAsia" w:ascii="仿宋" w:hAnsi="仿宋" w:eastAsia="仿宋"/>
          <w:sz w:val="28"/>
          <w:szCs w:val="28"/>
        </w:rPr>
        <w:t>，便于唱标。</w:t>
      </w:r>
    </w:p>
    <w:p w14:paraId="00523658">
      <w:pPr>
        <w:spacing w:line="460" w:lineRule="exact"/>
        <w:ind w:left="412" w:firstLine="14" w:firstLineChars="5"/>
        <w:rPr>
          <w:rFonts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6599E2B3">
      <w:pPr>
        <w:spacing w:line="460" w:lineRule="exact"/>
        <w:ind w:left="412" w:firstLine="14" w:firstLineChars="5"/>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1）、投标单位为依法在中华人民共和国境内登记注册，具有独立法人资格和一般纳税人资格，持有效营业执照；投标人具有良好的银行资信，投标人需提供2022年-2024年间连续三年，经会计师事务所或审计机构出具的财务审计报告【至少包括审计报告正文、签字盖章页、资产负债表、利润表、现金流量表】。</w:t>
      </w:r>
    </w:p>
    <w:p w14:paraId="211D7A41">
      <w:pPr>
        <w:spacing w:line="460" w:lineRule="exact"/>
        <w:ind w:left="412" w:firstLine="14" w:firstLineChars="5"/>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投标单位（品牌）应至少有在国内同等规模或以上电厂制造生产该设备10台、2个及以上电厂循环水泵变频改造项目业绩，投标人新成立不足三年的企业需提供自成立以来的财务审计报告；投标人不得在“信用中国”网站被列为失信被执行人；投标人近五年不存在因为产品质量问题引起的诉讼。投标人须通过质量管理体系认证；</w:t>
      </w:r>
    </w:p>
    <w:p w14:paraId="06D3BCC2">
      <w:pPr>
        <w:spacing w:line="460" w:lineRule="exact"/>
        <w:ind w:left="412" w:firstLine="14" w:firstLineChars="5"/>
        <w:rPr>
          <w:rFonts w:hint="default" w:ascii="仿宋" w:hAnsi="仿宋" w:eastAsia="仿宋" w:cs="Times New Roman"/>
          <w:sz w:val="28"/>
          <w:szCs w:val="28"/>
          <w:lang w:val="en-US" w:eastAsia="zh-CN"/>
        </w:rPr>
      </w:pPr>
      <w:r>
        <w:rPr>
          <w:rFonts w:hint="eastAsia" w:ascii="仿宋" w:hAnsi="仿宋" w:eastAsia="仿宋" w:cs="Times New Roman"/>
          <w:b w:val="0"/>
          <w:kern w:val="2"/>
          <w:sz w:val="28"/>
          <w:szCs w:val="28"/>
          <w:lang w:val="en-US" w:eastAsia="zh-CN" w:bidi="ar-SA"/>
        </w:rPr>
        <w:t>3）、</w:t>
      </w:r>
      <w:r>
        <w:rPr>
          <w:rFonts w:hint="eastAsia" w:ascii="仿宋" w:hAnsi="仿宋" w:eastAsia="仿宋" w:cs="Times New Roman"/>
          <w:sz w:val="28"/>
          <w:szCs w:val="28"/>
          <w:lang w:val="en-US" w:eastAsia="zh-CN"/>
        </w:rPr>
        <w:t>投标人应具有本次招标设备的设计、制造、质量控制、经营管理的相应的资格和能力。代理商参与投标的必须提供设备制造商授权。</w:t>
      </w:r>
    </w:p>
    <w:p w14:paraId="01394198">
      <w:pPr>
        <w:widowControl/>
        <w:spacing w:line="460" w:lineRule="exact"/>
        <w:ind w:firstLine="551" w:firstLineChars="197"/>
        <w:rPr>
          <w:rFonts w:hint="eastAsia" w:ascii="仿宋" w:hAnsi="仿宋" w:eastAsia="仿宋"/>
          <w:color w:val="000000"/>
          <w:sz w:val="28"/>
          <w:szCs w:val="28"/>
          <w:lang w:eastAsia="zh-CN"/>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r>
        <w:rPr>
          <w:rFonts w:hint="eastAsia" w:ascii="仿宋" w:hAnsi="仿宋" w:eastAsia="仿宋" w:cs="仿宋_GB2312"/>
          <w:sz w:val="28"/>
          <w:szCs w:val="28"/>
          <w:lang w:eastAsia="zh-CN"/>
        </w:rPr>
        <w:t>：</w:t>
      </w:r>
    </w:p>
    <w:p w14:paraId="0C961DD8">
      <w:pPr>
        <w:spacing w:line="460" w:lineRule="exact"/>
        <w:ind w:firstLine="560" w:firstLineChars="200"/>
        <w:rPr>
          <w:rFonts w:ascii="仿宋" w:hAnsi="仿宋" w:eastAsia="仿宋"/>
          <w:spacing w:val="-20"/>
          <w:sz w:val="28"/>
          <w:szCs w:val="28"/>
        </w:rPr>
      </w:pPr>
      <w:r>
        <w:rPr>
          <w:rFonts w:ascii="仿宋" w:hAnsi="仿宋" w:eastAsia="仿宋" w:cs="仿宋_GB2312"/>
          <w:sz w:val="28"/>
          <w:szCs w:val="28"/>
        </w:rPr>
        <w:t>1</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资格预审：</w:t>
      </w:r>
      <w:r>
        <w:rPr>
          <w:rFonts w:hint="eastAsia" w:ascii="仿宋" w:hAnsi="仿宋" w:eastAsia="仿宋" w:cs="仿宋_GB2312"/>
          <w:spacing w:val="-20"/>
          <w:sz w:val="28"/>
          <w:szCs w:val="28"/>
        </w:rPr>
        <w:t>未在招标中心备案的投标人，需提供企业营业执照（年审过的有效件且必须有标的物经营</w:t>
      </w:r>
      <w:r>
        <w:rPr>
          <w:rFonts w:hint="eastAsia" w:ascii="仿宋" w:hAnsi="仿宋" w:eastAsia="仿宋"/>
          <w:spacing w:val="-20"/>
          <w:sz w:val="28"/>
          <w:szCs w:val="28"/>
        </w:rPr>
        <w:t>范围）</w:t>
      </w:r>
      <w:r>
        <w:rPr>
          <w:rFonts w:hint="eastAsia" w:ascii="仿宋" w:hAnsi="仿宋" w:eastAsia="仿宋" w:cs="仿宋"/>
          <w:spacing w:val="-20"/>
          <w:sz w:val="28"/>
          <w:szCs w:val="28"/>
        </w:rPr>
        <w:t>、相关资质许可、相关授权资料等、法人授权书、法人及投标人身份证、业绩合同等加盖公章复印件扫描件，打包发送至</w:t>
      </w:r>
      <w:r>
        <w:rPr>
          <w:rFonts w:hint="eastAsia" w:ascii="仿宋" w:hAnsi="仿宋" w:eastAsia="仿宋" w:cs="仿宋"/>
          <w:spacing w:val="-20"/>
          <w:sz w:val="28"/>
          <w:szCs w:val="28"/>
          <w:lang w:val="en-US" w:eastAsia="zh-CN"/>
        </w:rPr>
        <w:t>277838558</w:t>
      </w:r>
      <w:r>
        <w:rPr>
          <w:rFonts w:ascii="仿宋" w:hAnsi="仿宋" w:eastAsia="仿宋" w:cs="仿宋"/>
          <w:spacing w:val="-20"/>
          <w:sz w:val="28"/>
          <w:szCs w:val="28"/>
        </w:rPr>
        <w:t>@</w:t>
      </w:r>
      <w:r>
        <w:rPr>
          <w:rFonts w:hint="eastAsia" w:ascii="仿宋" w:hAnsi="仿宋" w:eastAsia="仿宋" w:cs="仿宋"/>
          <w:spacing w:val="-20"/>
          <w:sz w:val="28"/>
          <w:szCs w:val="28"/>
        </w:rPr>
        <w:t>qq</w:t>
      </w:r>
      <w:r>
        <w:rPr>
          <w:rFonts w:ascii="仿宋" w:hAnsi="仿宋" w:eastAsia="仿宋" w:cs="仿宋"/>
          <w:spacing w:val="-20"/>
          <w:sz w:val="28"/>
          <w:szCs w:val="28"/>
        </w:rPr>
        <w:t>.com</w:t>
      </w:r>
      <w:r>
        <w:rPr>
          <w:rFonts w:hint="eastAsia" w:ascii="仿宋" w:hAnsi="仿宋" w:eastAsia="仿宋" w:cs="仿宋"/>
          <w:spacing w:val="-20"/>
          <w:sz w:val="28"/>
          <w:szCs w:val="28"/>
        </w:rPr>
        <w:t>作</w:t>
      </w:r>
      <w:r>
        <w:rPr>
          <w:rFonts w:hint="eastAsia" w:ascii="仿宋" w:hAnsi="仿宋" w:eastAsia="仿宋" w:cs="仿宋"/>
          <w:sz w:val="28"/>
          <w:szCs w:val="28"/>
        </w:rPr>
        <w:t>资质预审；资质预审截止时间：</w:t>
      </w:r>
      <w:r>
        <w:rPr>
          <w:rFonts w:hint="eastAsia" w:ascii="仿宋" w:hAnsi="仿宋" w:eastAsia="仿宋" w:cs="仿宋"/>
          <w:sz w:val="28"/>
          <w:szCs w:val="28"/>
          <w:lang w:val="en-US" w:eastAsia="zh-CN"/>
        </w:rPr>
        <w:t>5</w:t>
      </w:r>
      <w:r>
        <w:rPr>
          <w:rFonts w:hint="eastAsia" w:ascii="仿宋" w:hAnsi="仿宋" w:eastAsia="仿宋" w:cs="仿宋"/>
          <w:sz w:val="28"/>
          <w:szCs w:val="28"/>
        </w:rPr>
        <w:t>月</w:t>
      </w:r>
      <w:r>
        <w:rPr>
          <w:rFonts w:hint="eastAsia" w:ascii="仿宋" w:hAnsi="仿宋" w:eastAsia="仿宋" w:cs="仿宋"/>
          <w:sz w:val="28"/>
          <w:szCs w:val="28"/>
          <w:lang w:val="en-US" w:eastAsia="zh-CN"/>
        </w:rPr>
        <w:t>5</w:t>
      </w:r>
      <w:r>
        <w:rPr>
          <w:rFonts w:hint="eastAsia" w:ascii="仿宋" w:hAnsi="仿宋" w:eastAsia="仿宋" w:cs="仿宋"/>
          <w:sz w:val="28"/>
          <w:szCs w:val="28"/>
        </w:rPr>
        <w:t>日下午</w:t>
      </w:r>
      <w:r>
        <w:rPr>
          <w:rFonts w:hint="eastAsia" w:ascii="仿宋" w:hAnsi="仿宋" w:eastAsia="仿宋" w:cs="仿宋"/>
          <w:sz w:val="28"/>
          <w:szCs w:val="28"/>
          <w:lang w:val="en-US" w:eastAsia="zh-CN"/>
        </w:rPr>
        <w:t>5</w:t>
      </w:r>
      <w:r>
        <w:rPr>
          <w:rFonts w:hint="eastAsia" w:ascii="仿宋" w:hAnsi="仿宋" w:eastAsia="仿宋" w:cs="仿宋"/>
          <w:sz w:val="28"/>
          <w:szCs w:val="28"/>
        </w:rPr>
        <w:t>时前</w:t>
      </w:r>
      <w:r>
        <w:rPr>
          <w:rFonts w:hint="eastAsia" w:ascii="仿宋" w:hAnsi="仿宋" w:eastAsia="仿宋"/>
          <w:sz w:val="28"/>
          <w:szCs w:val="28"/>
        </w:rPr>
        <w:t>，逾期未审者不得参与本次招标。</w:t>
      </w:r>
    </w:p>
    <w:p w14:paraId="76038EBB">
      <w:pPr>
        <w:spacing w:line="4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资格后审，即在评标过程中评标小组成员共同进行审查；</w:t>
      </w:r>
    </w:p>
    <w:p w14:paraId="0187882C">
      <w:pPr>
        <w:spacing w:before="48" w:beforeLines="20" w:after="48" w:afterLines="20" w:line="460" w:lineRule="exact"/>
        <w:ind w:firstLine="560" w:firstLineChars="200"/>
        <w:rPr>
          <w:rFonts w:ascii="仿宋" w:hAnsi="仿宋" w:eastAsia="仿宋"/>
          <w:spacing w:val="-20"/>
          <w:sz w:val="28"/>
          <w:szCs w:val="28"/>
        </w:rPr>
      </w:pPr>
      <w:r>
        <w:rPr>
          <w:rFonts w:ascii="仿宋" w:hAnsi="仿宋" w:eastAsia="仿宋" w:cs="仿宋"/>
          <w:sz w:val="28"/>
          <w:szCs w:val="28"/>
        </w:rPr>
        <w:t>4</w:t>
      </w:r>
      <w:r>
        <w:rPr>
          <w:rFonts w:hint="eastAsia" w:ascii="仿宋" w:hAnsi="仿宋" w:eastAsia="仿宋" w:cs="仿宋"/>
          <w:sz w:val="28"/>
          <w:szCs w:val="28"/>
        </w:rPr>
        <w:t>、</w:t>
      </w:r>
      <w:r>
        <w:rPr>
          <w:rFonts w:hint="eastAsia" w:ascii="仿宋" w:hAnsi="仿宋" w:eastAsia="仿宋" w:cs="仿宋"/>
          <w:spacing w:val="-20"/>
          <w:sz w:val="28"/>
          <w:szCs w:val="28"/>
        </w:rPr>
        <w:t>投标保证金：各投标人在开标前须向业主单位财务缴纳投标保证金人民币</w:t>
      </w:r>
      <w:r>
        <w:rPr>
          <w:rFonts w:hint="eastAsia" w:ascii="仿宋" w:hAnsi="仿宋" w:eastAsia="仿宋" w:cs="仿宋"/>
          <w:spacing w:val="-20"/>
          <w:sz w:val="28"/>
          <w:szCs w:val="28"/>
          <w:lang w:val="en-US" w:eastAsia="zh-CN"/>
        </w:rPr>
        <w:t>贰万元整</w:t>
      </w:r>
      <w:r>
        <w:rPr>
          <w:rFonts w:hint="eastAsia" w:ascii="仿宋" w:hAnsi="仿宋" w:eastAsia="仿宋" w:cs="仿宋"/>
          <w:spacing w:val="-20"/>
          <w:sz w:val="28"/>
          <w:szCs w:val="28"/>
        </w:rPr>
        <w:t>（￥</w:t>
      </w:r>
      <w:r>
        <w:rPr>
          <w:rFonts w:hint="eastAsia" w:ascii="仿宋" w:hAnsi="仿宋" w:eastAsia="仿宋" w:cs="仿宋"/>
          <w:spacing w:val="-20"/>
          <w:sz w:val="28"/>
          <w:szCs w:val="28"/>
          <w:lang w:val="en-US" w:eastAsia="zh-CN"/>
        </w:rPr>
        <w:t>20000</w:t>
      </w:r>
      <w:r>
        <w:rPr>
          <w:rFonts w:hint="eastAsia" w:ascii="仿宋" w:hAnsi="仿宋" w:eastAsia="仿宋" w:cs="仿宋"/>
          <w:spacing w:val="-20"/>
          <w:sz w:val="28"/>
          <w:szCs w:val="28"/>
        </w:rPr>
        <w:t>元）整，（详细要求见招标文件第七部分）；逾期未缴纳者不得参与投标。</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、供货及工作范围：详见技术要求（附件7）；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9、为保证项目的进度要求，招标人保留分段定标的权力。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ascii="仿宋" w:hAnsi="仿宋" w:eastAsia="仿宋"/>
          <w:sz w:val="28"/>
          <w:szCs w:val="28"/>
        </w:rPr>
      </w:pPr>
      <w:r>
        <w:rPr>
          <w:rFonts w:hint="eastAsia" w:ascii="仿宋" w:hAnsi="仿宋" w:eastAsia="仿宋"/>
          <w:sz w:val="28"/>
          <w:szCs w:val="28"/>
        </w:rPr>
        <w:t>1 、投标文件的组成</w:t>
      </w:r>
    </w:p>
    <w:p w14:paraId="4AAD1D08">
      <w:pPr>
        <w:spacing w:line="460" w:lineRule="exact"/>
        <w:ind w:firstLine="560" w:firstLineChars="200"/>
        <w:rPr>
          <w:rFonts w:ascii="仿宋" w:hAnsi="仿宋" w:eastAsia="仿宋"/>
          <w:sz w:val="28"/>
          <w:szCs w:val="28"/>
        </w:rPr>
      </w:pPr>
      <w:r>
        <w:rPr>
          <w:rFonts w:hint="eastAsia" w:ascii="仿宋" w:hAnsi="仿宋" w:eastAsia="仿宋"/>
          <w:sz w:val="28"/>
          <w:szCs w:val="28"/>
        </w:rPr>
        <w:t>1.1. 投标文件由三卷组成：</w:t>
      </w:r>
    </w:p>
    <w:p w14:paraId="6E3FA541">
      <w:pPr>
        <w:spacing w:line="460" w:lineRule="exact"/>
        <w:ind w:firstLine="560"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投标人廉政承诺书</w:t>
      </w:r>
      <w:r>
        <w:rPr>
          <w:rFonts w:hint="eastAsia" w:ascii="仿宋" w:hAnsi="仿宋" w:eastAsia="仿宋"/>
          <w:sz w:val="28"/>
          <w:szCs w:val="28"/>
          <w:lang w:val="en-US" w:eastAsia="zh-CN"/>
        </w:rPr>
        <w:t>.</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投标人承诺函</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w:t>
      </w:r>
      <w:r>
        <w:rPr>
          <w:rFonts w:hint="eastAsia" w:ascii="仿宋" w:hAnsi="仿宋" w:eastAsia="仿宋"/>
          <w:sz w:val="28"/>
          <w:szCs w:val="28"/>
        </w:rPr>
        <w:t>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ascii="仿宋" w:hAnsi="仿宋" w:eastAsia="仿宋"/>
          <w:sz w:val="28"/>
          <w:szCs w:val="28"/>
        </w:rPr>
      </w:pPr>
      <w:r>
        <w:rPr>
          <w:rFonts w:hint="eastAsia" w:ascii="仿宋" w:hAnsi="仿宋" w:eastAsia="仿宋"/>
          <w:sz w:val="28"/>
          <w:szCs w:val="28"/>
        </w:rPr>
        <w:t>VI. 其它文件和资料。</w:t>
      </w:r>
    </w:p>
    <w:p w14:paraId="6EBFBF42">
      <w:pPr>
        <w:spacing w:line="460" w:lineRule="exact"/>
        <w:ind w:firstLine="560" w:firstLineChars="200"/>
        <w:rPr>
          <w:rFonts w:ascii="仿宋" w:hAnsi="仿宋" w:eastAsia="仿宋"/>
          <w:sz w:val="28"/>
          <w:szCs w:val="28"/>
        </w:rPr>
      </w:pPr>
      <w:r>
        <w:rPr>
          <w:rFonts w:hint="eastAsia" w:ascii="仿宋" w:hAnsi="仿宋" w:eastAsia="仿宋"/>
          <w:sz w:val="28"/>
          <w:szCs w:val="28"/>
        </w:rPr>
        <w:t>5）</w:t>
      </w:r>
      <w:r>
        <w:rPr>
          <w:rFonts w:hint="eastAsia" w:ascii="仿宋" w:hAnsi="仿宋" w:eastAsia="仿宋"/>
          <w:sz w:val="28"/>
          <w:szCs w:val="28"/>
          <w:lang w:eastAsia="zh-CN"/>
        </w:rPr>
        <w:t>、</w:t>
      </w:r>
      <w:r>
        <w:rPr>
          <w:rFonts w:hint="eastAsia" w:ascii="仿宋" w:hAnsi="仿宋" w:eastAsia="仿宋"/>
          <w:sz w:val="28"/>
          <w:szCs w:val="28"/>
        </w:rPr>
        <w:t>企业、产品简介</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7）商务、技术异议回复（详见附件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0" w:firstLineChars="200"/>
        <w:rPr>
          <w:rFonts w:ascii="仿宋" w:hAnsi="仿宋" w:eastAsia="仿宋"/>
          <w:sz w:val="28"/>
          <w:szCs w:val="28"/>
        </w:rPr>
      </w:pPr>
      <w:r>
        <w:rPr>
          <w:rFonts w:hint="eastAsia" w:ascii="仿宋" w:hAnsi="仿宋" w:eastAsia="仿宋"/>
          <w:b/>
          <w:bCs/>
          <w:sz w:val="28"/>
          <w:szCs w:val="28"/>
        </w:rPr>
        <w:t>第二卷为技术部分；</w:t>
      </w:r>
    </w:p>
    <w:p w14:paraId="5CAE7762">
      <w:pPr>
        <w:spacing w:line="460" w:lineRule="exact"/>
        <w:ind w:firstLine="560"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0"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480" w:firstLineChars="200"/>
        <w:rPr>
          <w:rFonts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投标文件从开标之日起，投标有效期为3个月。</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0"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0" w:firstLineChars="200"/>
        <w:rPr>
          <w:rFonts w:ascii="仿宋" w:hAnsi="仿宋" w:eastAsia="仿宋"/>
          <w:b/>
          <w:bCs/>
          <w:sz w:val="28"/>
          <w:szCs w:val="28"/>
        </w:rPr>
      </w:pPr>
      <w:r>
        <w:rPr>
          <w:rFonts w:hint="eastAsia" w:ascii="仿宋" w:hAnsi="仿宋" w:eastAsia="仿宋"/>
          <w:b/>
          <w:bCs/>
          <w:sz w:val="28"/>
          <w:szCs w:val="28"/>
        </w:rPr>
        <w:t>4 投标文件的递交</w:t>
      </w:r>
      <w:bookmarkStart w:id="67" w:name="_GoBack"/>
      <w:bookmarkEnd w:id="67"/>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5</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日</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5</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日</w:t>
      </w:r>
      <w:r>
        <w:rPr>
          <w:rFonts w:hint="eastAsia" w:ascii="仿宋" w:hAnsi="仿宋" w:eastAsia="仿宋"/>
          <w:spacing w:val="-20"/>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0"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ascii="仿宋" w:hAnsi="仿宋" w:eastAsia="仿宋"/>
          <w:sz w:val="28"/>
          <w:szCs w:val="28"/>
        </w:rPr>
      </w:pPr>
      <w:r>
        <w:rPr>
          <w:rFonts w:hint="eastAsia" w:ascii="仿宋" w:hAnsi="仿宋" w:eastAsia="仿宋"/>
          <w:sz w:val="28"/>
          <w:szCs w:val="28"/>
        </w:rPr>
        <w:t>5.1   商务评标过程中，有下列情形之一者，应予废标：</w:t>
      </w:r>
    </w:p>
    <w:p w14:paraId="03D1D744">
      <w:pPr>
        <w:spacing w:line="460" w:lineRule="exact"/>
        <w:ind w:firstLine="560" w:firstLineChars="200"/>
        <w:rPr>
          <w:rFonts w:ascii="仿宋" w:hAnsi="仿宋" w:eastAsia="仿宋"/>
          <w:sz w:val="28"/>
          <w:szCs w:val="28"/>
        </w:rPr>
      </w:pPr>
      <w:r>
        <w:rPr>
          <w:rFonts w:hint="eastAsia" w:ascii="仿宋" w:hAnsi="仿宋" w:eastAsia="仿宋"/>
          <w:sz w:val="28"/>
          <w:szCs w:val="28"/>
        </w:rPr>
        <w:t>5.1.1  投标人及其制造商与招标人、招标机构有利害关系的。</w:t>
      </w:r>
    </w:p>
    <w:p w14:paraId="243C0806">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p>
    <w:p w14:paraId="2E0C8A20">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p>
    <w:p w14:paraId="321BAD17">
      <w:pPr>
        <w:spacing w:line="460" w:lineRule="exact"/>
        <w:ind w:firstLine="560" w:firstLineChars="200"/>
        <w:rPr>
          <w:rFonts w:ascii="仿宋" w:hAnsi="仿宋" w:eastAsia="仿宋"/>
          <w:sz w:val="28"/>
          <w:szCs w:val="28"/>
        </w:rPr>
      </w:pPr>
      <w:r>
        <w:rPr>
          <w:rFonts w:hint="eastAsia" w:ascii="仿宋" w:hAnsi="仿宋" w:eastAsia="仿宋"/>
          <w:sz w:val="28"/>
          <w:szCs w:val="28"/>
        </w:rPr>
        <w:t>5.1.4  投标人业绩不能满足招标文件的要求。</w:t>
      </w:r>
    </w:p>
    <w:p w14:paraId="6ACC1F6C">
      <w:pPr>
        <w:spacing w:line="460" w:lineRule="exact"/>
        <w:ind w:firstLine="560" w:firstLineChars="200"/>
        <w:rPr>
          <w:rFonts w:ascii="仿宋" w:hAnsi="仿宋" w:eastAsia="仿宋"/>
          <w:sz w:val="28"/>
          <w:szCs w:val="28"/>
        </w:rPr>
      </w:pPr>
      <w:r>
        <w:rPr>
          <w:rFonts w:hint="eastAsia" w:ascii="仿宋" w:hAnsi="仿宋" w:eastAsia="仿宋"/>
          <w:sz w:val="28"/>
          <w:szCs w:val="28"/>
        </w:rPr>
        <w:t>5.1.5  投标文件符合招标文件中规定废标的其他商务条款。</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6B7DC5D5">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531B6CFF">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p>
    <w:p w14:paraId="245B357A">
      <w:pPr>
        <w:spacing w:line="460" w:lineRule="exact"/>
        <w:ind w:firstLine="708" w:firstLineChars="253"/>
        <w:rPr>
          <w:rFonts w:ascii="仿宋" w:hAnsi="仿宋" w:eastAsia="仿宋"/>
          <w:sz w:val="28"/>
          <w:szCs w:val="28"/>
        </w:rPr>
      </w:pPr>
      <w:r>
        <w:rPr>
          <w:rFonts w:hint="eastAsia" w:ascii="仿宋" w:hAnsi="仿宋" w:eastAsia="仿宋"/>
          <w:sz w:val="28"/>
          <w:szCs w:val="28"/>
        </w:rPr>
        <w:t>5.2.4  投标文件的澄清</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BAE65A6">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各投标人的评标价格得分按以下公式计算：</w:t>
      </w:r>
    </w:p>
    <w:p w14:paraId="4C7E80A6">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02E26D1E">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180" w:beforeLines="75" w:after="180" w:afterLines="75" w:line="460" w:lineRule="exact"/>
        <w:ind w:firstLine="840" w:firstLine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4E171DCE">
      <w:pPr>
        <w:spacing w:line="46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02EB4109">
      <w:pPr>
        <w:spacing w:line="460" w:lineRule="exact"/>
        <w:ind w:firstLine="560" w:firstLineChars="200"/>
        <w:rPr>
          <w:rFonts w:ascii="仿宋" w:hAnsi="仿宋" w:eastAsia="仿宋"/>
          <w:sz w:val="28"/>
          <w:szCs w:val="28"/>
        </w:rPr>
      </w:pPr>
      <w:r>
        <w:rPr>
          <w:rFonts w:hint="eastAsia" w:ascii="仿宋" w:hAnsi="仿宋" w:eastAsia="仿宋"/>
          <w:sz w:val="28"/>
          <w:szCs w:val="28"/>
        </w:rPr>
        <w:t>5、商务部分评分表（</w:t>
      </w:r>
      <w:r>
        <w:rPr>
          <w:rFonts w:ascii="仿宋" w:hAnsi="仿宋" w:eastAsia="仿宋"/>
          <w:sz w:val="28"/>
          <w:szCs w:val="28"/>
        </w:rPr>
        <w:t>1</w:t>
      </w:r>
      <w:r>
        <w:rPr>
          <w:rFonts w:hint="eastAsia" w:ascii="仿宋" w:hAnsi="仿宋" w:eastAsia="仿宋"/>
          <w:sz w:val="28"/>
          <w:szCs w:val="28"/>
        </w:rPr>
        <w:t>0分）</w:t>
      </w:r>
    </w:p>
    <w:p w14:paraId="162AB1C4">
      <w:pPr>
        <w:spacing w:line="160" w:lineRule="exact"/>
        <w:ind w:firstLine="560" w:firstLineChars="200"/>
        <w:rPr>
          <w:rFonts w:ascii="仿宋" w:hAnsi="仿宋" w:eastAsia="仿宋"/>
          <w:sz w:val="28"/>
          <w:szCs w:val="28"/>
        </w:rPr>
      </w:pPr>
    </w:p>
    <w:tbl>
      <w:tblPr>
        <w:tblStyle w:val="5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4BFE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7EF26838">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34953025">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5A64C266">
            <w:pPr>
              <w:jc w:val="center"/>
              <w:rPr>
                <w:rFonts w:ascii="仿宋" w:hAnsi="仿宋" w:eastAsia="仿宋" w:cs="仿宋"/>
                <w:sz w:val="22"/>
              </w:rPr>
            </w:pPr>
            <w:r>
              <w:rPr>
                <w:rFonts w:hint="eastAsia" w:ascii="仿宋" w:hAnsi="仿宋" w:eastAsia="仿宋" w:cs="仿宋"/>
                <w:sz w:val="22"/>
              </w:rPr>
              <w:t>考核内容</w:t>
            </w:r>
          </w:p>
        </w:tc>
        <w:tc>
          <w:tcPr>
            <w:tcW w:w="709" w:type="dxa"/>
            <w:vAlign w:val="center"/>
          </w:tcPr>
          <w:p w14:paraId="66829D6B">
            <w:pPr>
              <w:jc w:val="center"/>
              <w:rPr>
                <w:rFonts w:ascii="仿宋" w:hAnsi="仿宋" w:eastAsia="仿宋" w:cs="仿宋"/>
                <w:sz w:val="22"/>
              </w:rPr>
            </w:pPr>
            <w:r>
              <w:rPr>
                <w:rFonts w:hint="eastAsia" w:ascii="仿宋" w:hAnsi="仿宋" w:eastAsia="仿宋" w:cs="仿宋"/>
                <w:sz w:val="22"/>
              </w:rPr>
              <w:t>标准分</w:t>
            </w:r>
          </w:p>
        </w:tc>
        <w:tc>
          <w:tcPr>
            <w:tcW w:w="4961" w:type="dxa"/>
            <w:vAlign w:val="center"/>
          </w:tcPr>
          <w:p w14:paraId="3BDDEDF5">
            <w:pPr>
              <w:jc w:val="center"/>
              <w:rPr>
                <w:rFonts w:ascii="仿宋" w:hAnsi="仿宋" w:eastAsia="仿宋" w:cs="仿宋"/>
                <w:sz w:val="22"/>
              </w:rPr>
            </w:pPr>
            <w:r>
              <w:rPr>
                <w:rFonts w:hint="eastAsia" w:ascii="仿宋" w:hAnsi="仿宋" w:eastAsia="仿宋" w:cs="仿宋"/>
                <w:sz w:val="22"/>
              </w:rPr>
              <w:t>评分标准说明</w:t>
            </w:r>
          </w:p>
        </w:tc>
      </w:tr>
      <w:tr w14:paraId="0BB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exact"/>
          <w:jc w:val="center"/>
        </w:trPr>
        <w:tc>
          <w:tcPr>
            <w:tcW w:w="714" w:type="dxa"/>
            <w:vAlign w:val="center"/>
          </w:tcPr>
          <w:p w14:paraId="0522657F">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139C6C3E">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2</w:t>
            </w:r>
            <w:r>
              <w:rPr>
                <w:rFonts w:hint="eastAsia" w:ascii="仿宋" w:hAnsi="仿宋" w:eastAsia="仿宋" w:cs="仿宋"/>
                <w:sz w:val="18"/>
                <w:szCs w:val="18"/>
              </w:rPr>
              <w:t>分）</w:t>
            </w:r>
          </w:p>
        </w:tc>
        <w:tc>
          <w:tcPr>
            <w:tcW w:w="1134" w:type="dxa"/>
            <w:vAlign w:val="center"/>
          </w:tcPr>
          <w:p w14:paraId="72F1355A">
            <w:pPr>
              <w:spacing w:line="240" w:lineRule="exact"/>
              <w:rPr>
                <w:rFonts w:ascii="仿宋" w:hAnsi="仿宋" w:eastAsia="仿宋" w:cs="仿宋"/>
                <w:sz w:val="18"/>
                <w:szCs w:val="18"/>
              </w:rPr>
            </w:pPr>
            <w:r>
              <w:rPr>
                <w:rFonts w:hint="eastAsia" w:ascii="仿宋" w:hAnsi="仿宋" w:eastAsia="仿宋" w:cs="仿宋"/>
                <w:sz w:val="18"/>
                <w:szCs w:val="18"/>
              </w:rPr>
              <w:t>完整性及响应性</w:t>
            </w:r>
          </w:p>
        </w:tc>
        <w:tc>
          <w:tcPr>
            <w:tcW w:w="709" w:type="dxa"/>
            <w:vAlign w:val="center"/>
          </w:tcPr>
          <w:p w14:paraId="2A98ABB1">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3DFF71A7">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对投标文件的完整性和响应性进行评价，最优得满分，最低得1分。</w:t>
            </w:r>
          </w:p>
        </w:tc>
      </w:tr>
      <w:tr w14:paraId="465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2AA67FD2">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508272CE">
            <w:pPr>
              <w:spacing w:line="240" w:lineRule="exact"/>
              <w:jc w:val="center"/>
              <w:rPr>
                <w:rFonts w:ascii="仿宋" w:hAnsi="仿宋" w:eastAsia="仿宋" w:cs="仿宋"/>
                <w:sz w:val="18"/>
                <w:szCs w:val="18"/>
              </w:rPr>
            </w:pPr>
            <w:r>
              <w:rPr>
                <w:rFonts w:hint="eastAsia" w:ascii="仿宋" w:hAnsi="仿宋" w:eastAsia="仿宋" w:cs="仿宋"/>
                <w:sz w:val="18"/>
                <w:szCs w:val="18"/>
              </w:rPr>
              <w:t>企业财务状况</w:t>
            </w:r>
          </w:p>
          <w:p w14:paraId="377B28A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0AD40E2D">
            <w:pPr>
              <w:spacing w:line="240" w:lineRule="exact"/>
              <w:rPr>
                <w:rFonts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043096F6">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571C2133">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ascii="仿宋" w:hAnsi="仿宋" w:eastAsia="仿宋"/>
                <w:sz w:val="18"/>
                <w:szCs w:val="18"/>
              </w:rPr>
              <w:t>2</w:t>
            </w:r>
            <w:r>
              <w:rPr>
                <w:rFonts w:hint="eastAsia" w:ascii="仿宋" w:hAnsi="仿宋" w:eastAsia="仿宋"/>
                <w:sz w:val="18"/>
                <w:szCs w:val="18"/>
              </w:rPr>
              <w:t>年度、202</w:t>
            </w:r>
            <w:r>
              <w:rPr>
                <w:rFonts w:ascii="仿宋" w:hAnsi="仿宋" w:eastAsia="仿宋"/>
                <w:sz w:val="18"/>
                <w:szCs w:val="18"/>
              </w:rPr>
              <w:t>3</w:t>
            </w:r>
            <w:r>
              <w:rPr>
                <w:rFonts w:hint="eastAsia" w:ascii="仿宋" w:hAnsi="仿宋" w:eastAsia="仿宋"/>
                <w:sz w:val="18"/>
                <w:szCs w:val="18"/>
              </w:rPr>
              <w:t>年度、202</w:t>
            </w:r>
            <w:r>
              <w:rPr>
                <w:rFonts w:ascii="仿宋" w:hAnsi="仿宋" w:eastAsia="仿宋"/>
                <w:sz w:val="18"/>
                <w:szCs w:val="18"/>
              </w:rPr>
              <w:t>4</w:t>
            </w:r>
            <w:r>
              <w:rPr>
                <w:rFonts w:hint="eastAsia" w:ascii="仿宋" w:hAnsi="仿宋" w:eastAsia="仿宋"/>
                <w:sz w:val="18"/>
                <w:szCs w:val="18"/>
              </w:rPr>
              <w:t>年度）完整审计报告，企业连续三年均盈利得</w:t>
            </w:r>
            <w:r>
              <w:rPr>
                <w:rFonts w:ascii="仿宋" w:hAnsi="仿宋" w:eastAsia="仿宋"/>
                <w:sz w:val="18"/>
                <w:szCs w:val="18"/>
              </w:rPr>
              <w:t>1.5</w:t>
            </w:r>
            <w:r>
              <w:rPr>
                <w:rFonts w:hint="eastAsia" w:ascii="仿宋" w:hAnsi="仿宋" w:eastAsia="仿宋"/>
                <w:sz w:val="18"/>
                <w:szCs w:val="18"/>
              </w:rPr>
              <w:t>分，两年（含两年）显示盈利得</w:t>
            </w:r>
            <w:r>
              <w:rPr>
                <w:rFonts w:ascii="仿宋" w:hAnsi="仿宋" w:eastAsia="仿宋"/>
                <w:sz w:val="18"/>
                <w:szCs w:val="18"/>
              </w:rPr>
              <w:t>1</w:t>
            </w:r>
            <w:r>
              <w:rPr>
                <w:rFonts w:hint="eastAsia" w:ascii="仿宋" w:hAnsi="仿宋" w:eastAsia="仿宋"/>
                <w:sz w:val="18"/>
                <w:szCs w:val="18"/>
              </w:rPr>
              <w:t>分，两年以下显示盈利得0分。</w:t>
            </w:r>
          </w:p>
          <w:p w14:paraId="6D328674">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11AF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exact"/>
          <w:jc w:val="center"/>
        </w:trPr>
        <w:tc>
          <w:tcPr>
            <w:tcW w:w="714" w:type="dxa"/>
            <w:vMerge w:val="restart"/>
            <w:vAlign w:val="center"/>
          </w:tcPr>
          <w:p w14:paraId="796307A5">
            <w:pPr>
              <w:spacing w:line="240" w:lineRule="exact"/>
              <w:jc w:val="center"/>
              <w:rPr>
                <w:rFonts w:ascii="仿宋" w:hAnsi="仿宋" w:eastAsia="仿宋" w:cs="仿宋"/>
                <w:sz w:val="18"/>
                <w:szCs w:val="18"/>
              </w:rPr>
            </w:pPr>
            <w:r>
              <w:rPr>
                <w:rFonts w:hint="eastAsia" w:ascii="仿宋" w:hAnsi="仿宋" w:eastAsia="仿宋" w:cs="仿宋"/>
                <w:sz w:val="18"/>
                <w:szCs w:val="18"/>
              </w:rPr>
              <w:t>3</w:t>
            </w:r>
          </w:p>
        </w:tc>
        <w:tc>
          <w:tcPr>
            <w:tcW w:w="1691" w:type="dxa"/>
            <w:vMerge w:val="restart"/>
            <w:vAlign w:val="center"/>
          </w:tcPr>
          <w:p w14:paraId="6729322F">
            <w:pPr>
              <w:spacing w:line="240" w:lineRule="exact"/>
              <w:jc w:val="center"/>
              <w:rPr>
                <w:rFonts w:ascii="仿宋" w:hAnsi="仿宋" w:eastAsia="仿宋" w:cs="仿宋"/>
                <w:sz w:val="18"/>
                <w:szCs w:val="18"/>
              </w:rPr>
            </w:pPr>
            <w:r>
              <w:rPr>
                <w:rFonts w:hint="eastAsia" w:ascii="仿宋" w:hAnsi="仿宋" w:eastAsia="仿宋" w:cs="仿宋"/>
                <w:sz w:val="18"/>
                <w:szCs w:val="18"/>
              </w:rPr>
              <w:t>进度保证</w:t>
            </w:r>
          </w:p>
          <w:p w14:paraId="32772EF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21524155">
            <w:pPr>
              <w:spacing w:line="240" w:lineRule="exact"/>
              <w:rPr>
                <w:rFonts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BA10DCD">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1C9B6CF5">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3D6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exact"/>
          <w:jc w:val="center"/>
        </w:trPr>
        <w:tc>
          <w:tcPr>
            <w:tcW w:w="714" w:type="dxa"/>
            <w:vMerge w:val="continue"/>
            <w:vAlign w:val="center"/>
          </w:tcPr>
          <w:p w14:paraId="1C8C7799">
            <w:pPr>
              <w:spacing w:line="240" w:lineRule="exact"/>
              <w:jc w:val="center"/>
              <w:rPr>
                <w:rFonts w:ascii="仿宋" w:hAnsi="仿宋" w:eastAsia="仿宋" w:cs="仿宋"/>
                <w:sz w:val="18"/>
                <w:szCs w:val="18"/>
              </w:rPr>
            </w:pPr>
          </w:p>
        </w:tc>
        <w:tc>
          <w:tcPr>
            <w:tcW w:w="1691" w:type="dxa"/>
            <w:vMerge w:val="continue"/>
            <w:vAlign w:val="center"/>
          </w:tcPr>
          <w:p w14:paraId="53D4DF34">
            <w:pPr>
              <w:spacing w:line="240" w:lineRule="exact"/>
              <w:rPr>
                <w:rFonts w:ascii="仿宋" w:hAnsi="仿宋" w:eastAsia="仿宋" w:cs="仿宋"/>
                <w:sz w:val="18"/>
                <w:szCs w:val="18"/>
              </w:rPr>
            </w:pPr>
          </w:p>
        </w:tc>
        <w:tc>
          <w:tcPr>
            <w:tcW w:w="1134" w:type="dxa"/>
            <w:vAlign w:val="center"/>
          </w:tcPr>
          <w:p w14:paraId="2883B7B1">
            <w:pPr>
              <w:spacing w:line="240" w:lineRule="exact"/>
              <w:rPr>
                <w:rFonts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602AC70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6423686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1C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714" w:type="dxa"/>
            <w:vMerge w:val="continue"/>
            <w:vAlign w:val="center"/>
          </w:tcPr>
          <w:p w14:paraId="0CFFACF7">
            <w:pPr>
              <w:spacing w:line="240" w:lineRule="exact"/>
              <w:jc w:val="center"/>
              <w:rPr>
                <w:rFonts w:ascii="仿宋" w:hAnsi="仿宋" w:eastAsia="仿宋" w:cs="仿宋"/>
                <w:sz w:val="18"/>
                <w:szCs w:val="18"/>
              </w:rPr>
            </w:pPr>
          </w:p>
        </w:tc>
        <w:tc>
          <w:tcPr>
            <w:tcW w:w="1691" w:type="dxa"/>
            <w:vMerge w:val="continue"/>
            <w:vAlign w:val="center"/>
          </w:tcPr>
          <w:p w14:paraId="479B3C33">
            <w:pPr>
              <w:spacing w:line="240" w:lineRule="exact"/>
              <w:rPr>
                <w:rFonts w:ascii="仿宋" w:hAnsi="仿宋" w:eastAsia="仿宋" w:cs="仿宋"/>
                <w:sz w:val="18"/>
                <w:szCs w:val="18"/>
              </w:rPr>
            </w:pPr>
          </w:p>
        </w:tc>
        <w:tc>
          <w:tcPr>
            <w:tcW w:w="1134" w:type="dxa"/>
            <w:vAlign w:val="center"/>
          </w:tcPr>
          <w:p w14:paraId="29613A69">
            <w:pPr>
              <w:spacing w:line="240" w:lineRule="exact"/>
              <w:rPr>
                <w:rFonts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120A855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38AB3BF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6B3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exact"/>
          <w:jc w:val="center"/>
        </w:trPr>
        <w:tc>
          <w:tcPr>
            <w:tcW w:w="714" w:type="dxa"/>
            <w:vAlign w:val="center"/>
          </w:tcPr>
          <w:p w14:paraId="549AA5D8">
            <w:pPr>
              <w:spacing w:line="240" w:lineRule="exact"/>
              <w:jc w:val="center"/>
              <w:rPr>
                <w:rFonts w:ascii="仿宋" w:hAnsi="仿宋" w:eastAsia="仿宋" w:cs="仿宋"/>
                <w:sz w:val="18"/>
                <w:szCs w:val="18"/>
              </w:rPr>
            </w:pPr>
            <w:r>
              <w:rPr>
                <w:rFonts w:hint="eastAsia" w:ascii="仿宋" w:hAnsi="仿宋" w:eastAsia="仿宋" w:cs="仿宋"/>
                <w:sz w:val="18"/>
                <w:szCs w:val="18"/>
              </w:rPr>
              <w:t>4</w:t>
            </w:r>
          </w:p>
        </w:tc>
        <w:tc>
          <w:tcPr>
            <w:tcW w:w="1691" w:type="dxa"/>
            <w:vAlign w:val="center"/>
          </w:tcPr>
          <w:p w14:paraId="4BD92AF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（1.5分）</w:t>
            </w:r>
          </w:p>
        </w:tc>
        <w:tc>
          <w:tcPr>
            <w:tcW w:w="1134" w:type="dxa"/>
            <w:vAlign w:val="center"/>
          </w:tcPr>
          <w:p w14:paraId="6551CA86">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0DD36880">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25CA69C">
            <w:pPr>
              <w:snapToGrid w:val="0"/>
              <w:spacing w:line="240" w:lineRule="exact"/>
              <w:jc w:val="left"/>
              <w:rPr>
                <w:rFonts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。以上证书齐全的得1.5分</w:t>
            </w:r>
            <w:r>
              <w:rPr>
                <w:rFonts w:hint="eastAsia" w:ascii="仿宋" w:hAnsi="仿宋" w:eastAsia="仿宋" w:cs="仿宋"/>
                <w:sz w:val="18"/>
                <w:szCs w:val="18"/>
              </w:rPr>
              <w:t>，否则不得分。</w:t>
            </w:r>
          </w:p>
          <w:p w14:paraId="37705350">
            <w:pPr>
              <w:spacing w:line="240" w:lineRule="exact"/>
              <w:rPr>
                <w:rFonts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2A9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exact"/>
          <w:jc w:val="center"/>
        </w:trPr>
        <w:tc>
          <w:tcPr>
            <w:tcW w:w="714" w:type="dxa"/>
            <w:vAlign w:val="center"/>
          </w:tcPr>
          <w:p w14:paraId="036BDB5E">
            <w:pPr>
              <w:spacing w:line="240" w:lineRule="exact"/>
              <w:jc w:val="center"/>
              <w:rPr>
                <w:rFonts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5BCB46A4">
            <w:pPr>
              <w:snapToGrid w:val="0"/>
              <w:spacing w:line="240" w:lineRule="exact"/>
              <w:jc w:val="center"/>
              <w:rPr>
                <w:rFonts w:ascii="仿宋" w:hAnsi="仿宋" w:eastAsia="仿宋"/>
                <w:sz w:val="18"/>
                <w:szCs w:val="18"/>
              </w:rPr>
            </w:pPr>
            <w:r>
              <w:rPr>
                <w:rFonts w:ascii="仿宋" w:hAnsi="仿宋" w:eastAsia="仿宋"/>
                <w:sz w:val="18"/>
                <w:szCs w:val="18"/>
              </w:rPr>
              <w:t>信用评价</w:t>
            </w:r>
          </w:p>
          <w:p w14:paraId="2061E2D6">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6647FCBD">
            <w:pPr>
              <w:spacing w:line="240" w:lineRule="exact"/>
              <w:jc w:val="center"/>
              <w:rPr>
                <w:rFonts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72B7C60F">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F3620C4">
            <w:pPr>
              <w:snapToGrid w:val="0"/>
              <w:spacing w:line="240" w:lineRule="exact"/>
              <w:rPr>
                <w:rFonts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w:t>
            </w:r>
            <w:r>
              <w:rPr>
                <w:rFonts w:hint="eastAsia" w:ascii="仿宋" w:hAnsi="仿宋" w:eastAsia="仿宋" w:cs="仿宋"/>
                <w:sz w:val="18"/>
                <w:szCs w:val="18"/>
                <w:lang w:val="en-US" w:eastAsia="zh-CN"/>
              </w:rPr>
              <w:t>2</w:t>
            </w:r>
            <w:r>
              <w:rPr>
                <w:rFonts w:ascii="仿宋" w:hAnsi="仿宋" w:eastAsia="仿宋" w:cs="仿宋"/>
                <w:sz w:val="18"/>
                <w:szCs w:val="18"/>
              </w:rPr>
              <w:t>年以来连续三年被评为AAA级的企业得1.5分；连续两年被评为AAA级的企业得1分；一年内被评为AAA级的企业得0.5分。（须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1CA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jc w:val="center"/>
        </w:trPr>
        <w:tc>
          <w:tcPr>
            <w:tcW w:w="714" w:type="dxa"/>
            <w:vAlign w:val="center"/>
          </w:tcPr>
          <w:p w14:paraId="025F6AAD">
            <w:pPr>
              <w:spacing w:line="240" w:lineRule="exact"/>
              <w:jc w:val="center"/>
              <w:rPr>
                <w:rFonts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218C1EE1">
            <w:pPr>
              <w:snapToGrid w:val="0"/>
              <w:spacing w:line="240" w:lineRule="exact"/>
              <w:jc w:val="center"/>
              <w:rPr>
                <w:rFonts w:ascii="仿宋" w:hAnsi="仿宋" w:eastAsia="仿宋"/>
                <w:sz w:val="18"/>
                <w:szCs w:val="18"/>
              </w:rPr>
            </w:pPr>
            <w:r>
              <w:rPr>
                <w:rFonts w:hint="eastAsia" w:ascii="仿宋" w:hAnsi="仿宋" w:eastAsia="仿宋"/>
                <w:sz w:val="18"/>
                <w:szCs w:val="18"/>
              </w:rPr>
              <w:t>质保承诺</w:t>
            </w:r>
          </w:p>
          <w:p w14:paraId="178961C7">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2</w:t>
            </w:r>
            <w:r>
              <w:rPr>
                <w:rFonts w:hint="eastAsia" w:ascii="仿宋" w:hAnsi="仿宋" w:eastAsia="仿宋"/>
                <w:sz w:val="18"/>
                <w:szCs w:val="18"/>
              </w:rPr>
              <w:t>分）</w:t>
            </w:r>
          </w:p>
        </w:tc>
        <w:tc>
          <w:tcPr>
            <w:tcW w:w="1134" w:type="dxa"/>
            <w:vAlign w:val="center"/>
          </w:tcPr>
          <w:p w14:paraId="0C78D714">
            <w:pPr>
              <w:spacing w:line="240" w:lineRule="exact"/>
              <w:jc w:val="center"/>
              <w:rPr>
                <w:rFonts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12DFCE32">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2EF602EC">
            <w:pPr>
              <w:pStyle w:val="26"/>
              <w:snapToGrid w:val="0"/>
              <w:spacing w:line="240" w:lineRule="exact"/>
              <w:rPr>
                <w:rFonts w:ascii="仿宋" w:hAnsi="仿宋" w:eastAsia="仿宋" w:cs="仿宋"/>
                <w:color w:val="auto"/>
                <w:sz w:val="18"/>
                <w:szCs w:val="18"/>
              </w:rPr>
            </w:pPr>
            <w:r>
              <w:rPr>
                <w:rFonts w:ascii="仿宋" w:hAnsi="仿宋" w:eastAsia="仿宋" w:cs="仿宋"/>
                <w:color w:val="auto"/>
                <w:sz w:val="18"/>
                <w:szCs w:val="18"/>
              </w:rPr>
              <w:t>质保期</w:t>
            </w:r>
            <w:r>
              <w:rPr>
                <w:rFonts w:hint="eastAsia" w:ascii="仿宋" w:hAnsi="仿宋" w:eastAsia="仿宋" w:cs="仿宋"/>
                <w:color w:val="auto"/>
                <w:sz w:val="18"/>
                <w:szCs w:val="18"/>
                <w:lang w:val="en-US" w:eastAsia="zh-CN"/>
              </w:rPr>
              <w:t>24个月</w:t>
            </w:r>
            <w:r>
              <w:rPr>
                <w:rFonts w:ascii="仿宋" w:hAnsi="仿宋" w:eastAsia="仿宋" w:cs="仿宋"/>
                <w:color w:val="auto"/>
                <w:sz w:val="18"/>
                <w:szCs w:val="18"/>
              </w:rPr>
              <w:t>：在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得1分，最高得2分，不足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2EDAD866">
            <w:pPr>
              <w:spacing w:line="240" w:lineRule="exact"/>
              <w:rPr>
                <w:rFonts w:ascii="仿宋" w:hAnsi="仿宋" w:eastAsia="仿宋" w:cs="仿宋"/>
                <w:sz w:val="18"/>
                <w:szCs w:val="18"/>
              </w:rPr>
            </w:pPr>
            <w:r>
              <w:rPr>
                <w:rFonts w:hint="eastAsia" w:ascii="仿宋" w:hAnsi="仿宋" w:eastAsia="仿宋"/>
                <w:b/>
                <w:bCs/>
                <w:sz w:val="18"/>
                <w:szCs w:val="18"/>
              </w:rPr>
              <w:t>（须在投标文件中附承诺并加盖公章，否则不得分。）</w:t>
            </w:r>
          </w:p>
        </w:tc>
      </w:tr>
    </w:tbl>
    <w:p w14:paraId="740A6E01">
      <w:pPr>
        <w:spacing w:line="240" w:lineRule="exact"/>
        <w:ind w:firstLine="560" w:firstLineChars="200"/>
        <w:rPr>
          <w:rFonts w:ascii="仿宋" w:hAnsi="仿宋" w:eastAsia="仿宋"/>
          <w:sz w:val="28"/>
          <w:szCs w:val="28"/>
        </w:rPr>
      </w:pPr>
    </w:p>
    <w:p w14:paraId="4F2B0916">
      <w:pPr>
        <w:spacing w:line="460" w:lineRule="exact"/>
        <w:ind w:firstLine="560" w:firstLineChars="200"/>
        <w:rPr>
          <w:rFonts w:ascii="仿宋" w:hAnsi="仿宋" w:eastAsia="仿宋"/>
          <w:sz w:val="28"/>
          <w:szCs w:val="28"/>
        </w:rPr>
      </w:pPr>
      <w:r>
        <w:rPr>
          <w:rFonts w:hint="eastAsia" w:ascii="仿宋" w:hAnsi="仿宋" w:eastAsia="仿宋"/>
          <w:sz w:val="28"/>
          <w:szCs w:val="28"/>
        </w:rPr>
        <w:t>6、技术评分表</w:t>
      </w:r>
    </w:p>
    <w:p w14:paraId="41086596">
      <w:pPr>
        <w:spacing w:line="460" w:lineRule="exact"/>
        <w:ind w:firstLine="2730" w:firstLineChars="1300"/>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7A2E081A">
      <w:pPr>
        <w:spacing w:line="160" w:lineRule="exact"/>
        <w:ind w:firstLine="2730" w:firstLineChars="1300"/>
        <w:rPr>
          <w:rFonts w:ascii="宋体" w:hAnsi="宋体"/>
          <w:b/>
          <w:szCs w:val="21"/>
        </w:rPr>
      </w:pPr>
    </w:p>
    <w:tbl>
      <w:tblPr>
        <w:tblStyle w:val="59"/>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311"/>
      </w:tblGrid>
      <w:tr w14:paraId="14B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52F9BAC4">
            <w:pPr>
              <w:suppressLineNumbers/>
              <w:suppressAutoHyphens/>
              <w:kinsoku w:val="0"/>
              <w:snapToGrid w:val="0"/>
              <w:ind w:left="236" w:hanging="235"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517ECBA4">
            <w:pPr>
              <w:suppressLineNumbers/>
              <w:suppressAutoHyphens/>
              <w:kinsoku w:val="0"/>
              <w:snapToGrid w:val="0"/>
              <w:ind w:left="236" w:hanging="235"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311" w:type="dxa"/>
            <w:vAlign w:val="center"/>
          </w:tcPr>
          <w:p w14:paraId="085735A3">
            <w:pPr>
              <w:suppressLineNumbers/>
              <w:suppressAutoHyphens/>
              <w:kinsoku w:val="0"/>
              <w:snapToGrid w:val="0"/>
              <w:ind w:left="236" w:hanging="235"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3943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4BB4C6F">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50703AA1">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基本功能</w:t>
            </w:r>
          </w:p>
        </w:tc>
        <w:tc>
          <w:tcPr>
            <w:tcW w:w="709" w:type="dxa"/>
            <w:vAlign w:val="center"/>
          </w:tcPr>
          <w:p w14:paraId="7C86198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F8DAD6D">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完全满足：</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分；基本满足：1-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分；不满足：废标</w:t>
            </w:r>
          </w:p>
        </w:tc>
      </w:tr>
      <w:tr w14:paraId="3850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5C25FCAB">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vAlign w:val="center"/>
          </w:tcPr>
          <w:p w14:paraId="385B1000">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设计制作</w:t>
            </w:r>
          </w:p>
        </w:tc>
        <w:tc>
          <w:tcPr>
            <w:tcW w:w="709" w:type="dxa"/>
            <w:vAlign w:val="center"/>
          </w:tcPr>
          <w:p w14:paraId="1881AEB6">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4218465F">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根据设备设计、设备参数及技术力量：1-3分</w:t>
            </w:r>
          </w:p>
        </w:tc>
      </w:tr>
      <w:tr w14:paraId="4977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3FAE1FC">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vAlign w:val="center"/>
          </w:tcPr>
          <w:p w14:paraId="4ABC2736">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产品适用性</w:t>
            </w:r>
          </w:p>
        </w:tc>
        <w:tc>
          <w:tcPr>
            <w:tcW w:w="709" w:type="dxa"/>
            <w:vAlign w:val="center"/>
          </w:tcPr>
          <w:p w14:paraId="2F3911F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B731848">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操作简便、直观：1-</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w:t>
            </w:r>
          </w:p>
        </w:tc>
      </w:tr>
      <w:tr w14:paraId="47C7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3395581">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vAlign w:val="center"/>
          </w:tcPr>
          <w:p w14:paraId="4991D58F">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综合技术水平及性能</w:t>
            </w:r>
          </w:p>
        </w:tc>
        <w:tc>
          <w:tcPr>
            <w:tcW w:w="709" w:type="dxa"/>
            <w:vAlign w:val="center"/>
          </w:tcPr>
          <w:p w14:paraId="7ABAA26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64F5E10C">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对工艺、技术、配置、性能等的可行性、先进性、专利等综合评价：1-</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2D0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4C48B2B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1BFE0D80">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z w:val="18"/>
                <w:szCs w:val="18"/>
              </w:rPr>
              <w:t>生产能力和业绩</w:t>
            </w:r>
          </w:p>
        </w:tc>
        <w:tc>
          <w:tcPr>
            <w:tcW w:w="709" w:type="dxa"/>
            <w:vAlign w:val="center"/>
          </w:tcPr>
          <w:p w14:paraId="7C589F3E">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z w:val="18"/>
                <w:szCs w:val="18"/>
                <w:lang w:val="en-US" w:eastAsia="zh-CN"/>
              </w:rPr>
              <w:t>5</w:t>
            </w:r>
          </w:p>
        </w:tc>
        <w:tc>
          <w:tcPr>
            <w:tcW w:w="6311" w:type="dxa"/>
            <w:vAlign w:val="center"/>
          </w:tcPr>
          <w:p w14:paraId="49722D37">
            <w:pPr>
              <w:rPr>
                <w:rFonts w:ascii="仿宋" w:hAnsi="仿宋" w:eastAsia="仿宋" w:cs="仿宋"/>
                <w:snapToGrid w:val="0"/>
                <w:kern w:val="0"/>
                <w:sz w:val="18"/>
                <w:szCs w:val="18"/>
              </w:rPr>
            </w:pPr>
            <w:r>
              <w:rPr>
                <w:rFonts w:hint="eastAsia" w:ascii="仿宋" w:hAnsi="仿宋" w:eastAsia="仿宋"/>
                <w:sz w:val="18"/>
                <w:szCs w:val="18"/>
              </w:rPr>
              <w:t>近</w:t>
            </w:r>
            <w:r>
              <w:rPr>
                <w:rFonts w:hint="eastAsia" w:ascii="仿宋" w:hAnsi="仿宋" w:eastAsia="仿宋"/>
                <w:sz w:val="18"/>
                <w:szCs w:val="18"/>
                <w:lang w:val="en-US" w:eastAsia="zh-CN"/>
              </w:rPr>
              <w:t>五</w:t>
            </w:r>
            <w:r>
              <w:rPr>
                <w:rFonts w:hint="eastAsia" w:ascii="仿宋" w:hAnsi="仿宋" w:eastAsia="仿宋"/>
                <w:sz w:val="18"/>
                <w:szCs w:val="18"/>
              </w:rPr>
              <w:t>年</w:t>
            </w:r>
            <w:r>
              <w:rPr>
                <w:rFonts w:hint="eastAsia" w:ascii="仿宋" w:hAnsi="仿宋" w:eastAsia="仿宋" w:cs="Times New Roman"/>
                <w:sz w:val="18"/>
                <w:szCs w:val="18"/>
                <w:lang w:val="en-US" w:eastAsia="zh-CN"/>
              </w:rPr>
              <w:t>至少有在国内同等规模或以上电厂制造生产该设备10台、2个及以上电厂循环水泵变频改造项目业绩。2个</w:t>
            </w:r>
            <w:r>
              <w:rPr>
                <w:rFonts w:hint="eastAsia" w:ascii="仿宋" w:hAnsi="仿宋" w:eastAsia="仿宋"/>
                <w:sz w:val="18"/>
                <w:szCs w:val="18"/>
              </w:rPr>
              <w:t>得0分，每增加1个得1分，最高得</w:t>
            </w:r>
            <w:r>
              <w:rPr>
                <w:rFonts w:hint="eastAsia" w:ascii="仿宋" w:hAnsi="仿宋" w:eastAsia="仿宋"/>
                <w:sz w:val="18"/>
                <w:szCs w:val="18"/>
                <w:lang w:val="en-US" w:eastAsia="zh-CN"/>
              </w:rPr>
              <w:t>5</w:t>
            </w:r>
            <w:r>
              <w:rPr>
                <w:rFonts w:hint="eastAsia" w:ascii="仿宋" w:hAnsi="仿宋" w:eastAsia="仿宋"/>
                <w:sz w:val="18"/>
                <w:szCs w:val="18"/>
              </w:rPr>
              <w:t>分。</w:t>
            </w:r>
          </w:p>
        </w:tc>
      </w:tr>
      <w:tr w14:paraId="1ECB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F5EA8AA">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6D798614">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6A19A513">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74DEB4D2">
            <w:pPr>
              <w:pStyle w:val="26"/>
              <w:snapToGrid w:val="0"/>
              <w:spacing w:line="240" w:lineRule="exact"/>
              <w:rPr>
                <w:rFonts w:hint="eastAsia" w:ascii="仿宋" w:hAnsi="仿宋" w:eastAsia="仿宋"/>
                <w:color w:val="auto"/>
                <w:sz w:val="18"/>
                <w:szCs w:val="18"/>
                <w:lang w:eastAsia="zh-CN"/>
              </w:rPr>
            </w:pPr>
            <w:r>
              <w:rPr>
                <w:rFonts w:hint="eastAsia" w:ascii="仿宋" w:hAnsi="仿宋" w:eastAsia="仿宋"/>
                <w:color w:val="auto"/>
                <w:sz w:val="18"/>
                <w:szCs w:val="18"/>
              </w:rPr>
              <w:t>完善2分；基本完善1分；不完善0分</w:t>
            </w:r>
            <w:r>
              <w:rPr>
                <w:rFonts w:hint="eastAsia" w:ascii="仿宋" w:hAnsi="仿宋" w:eastAsia="仿宋"/>
                <w:color w:val="auto"/>
                <w:sz w:val="18"/>
                <w:szCs w:val="18"/>
                <w:lang w:eastAsia="zh-CN"/>
              </w:rPr>
              <w:t>。</w:t>
            </w:r>
          </w:p>
        </w:tc>
      </w:tr>
      <w:tr w14:paraId="200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EFEB247">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7</w:t>
            </w:r>
          </w:p>
        </w:tc>
        <w:tc>
          <w:tcPr>
            <w:tcW w:w="1275" w:type="dxa"/>
            <w:vAlign w:val="center"/>
          </w:tcPr>
          <w:p w14:paraId="5C0A0C48">
            <w:pPr>
              <w:snapToGrid w:val="0"/>
              <w:spacing w:line="240" w:lineRule="exact"/>
              <w:jc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tc>
        <w:tc>
          <w:tcPr>
            <w:tcW w:w="709" w:type="dxa"/>
            <w:vAlign w:val="center"/>
          </w:tcPr>
          <w:p w14:paraId="088612BB">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1A894AFB">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0AB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5C7DC645">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8</w:t>
            </w:r>
          </w:p>
        </w:tc>
        <w:tc>
          <w:tcPr>
            <w:tcW w:w="1275" w:type="dxa"/>
            <w:vAlign w:val="center"/>
          </w:tcPr>
          <w:p w14:paraId="602C3921">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vAlign w:val="center"/>
          </w:tcPr>
          <w:p w14:paraId="1B988EB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46A6DEC3">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根据投标人提供的备品备件清单及优惠折扣价格，进行横向比较后打1-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6D8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5AF5542">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9</w:t>
            </w:r>
          </w:p>
        </w:tc>
        <w:tc>
          <w:tcPr>
            <w:tcW w:w="1275" w:type="dxa"/>
            <w:vAlign w:val="center"/>
          </w:tcPr>
          <w:p w14:paraId="32666B0B">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E2542F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1686B987">
            <w:pPr>
              <w:snapToGrid w:val="0"/>
              <w:spacing w:line="240" w:lineRule="exact"/>
              <w:jc w:val="left"/>
              <w:rPr>
                <w:rFonts w:ascii="仿宋" w:hAnsi="仿宋" w:eastAsia="仿宋"/>
                <w:sz w:val="18"/>
                <w:szCs w:val="18"/>
              </w:rPr>
            </w:pPr>
            <w:r>
              <w:rPr>
                <w:rFonts w:hint="eastAsia" w:ascii="仿宋" w:hAnsi="仿宋" w:eastAsia="仿宋"/>
                <w:sz w:val="18"/>
                <w:szCs w:val="18"/>
              </w:rPr>
              <w:t>投标人应在充分理解本项目需求的基础上，针对本项目编制售后服务方案，包括但不限于服务内容、响应时间、人员安排、现场培训、技术指导、终身免费服务等。</w:t>
            </w:r>
          </w:p>
          <w:p w14:paraId="49882192">
            <w:pPr>
              <w:pStyle w:val="26"/>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内容详实，售后服务方案科学、合理，考虑周全，到位，针对性强，得</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w:t>
            </w:r>
            <w:r>
              <w:rPr>
                <w:rFonts w:hint="eastAsia" w:ascii="仿宋" w:hAnsi="仿宋" w:eastAsia="仿宋"/>
                <w:color w:val="auto"/>
                <w:sz w:val="18"/>
                <w:szCs w:val="18"/>
                <w:lang w:val="en-US" w:eastAsia="zh-CN"/>
              </w:rPr>
              <w:t>3</w:t>
            </w:r>
            <w:r>
              <w:rPr>
                <w:rFonts w:hint="eastAsia" w:ascii="仿宋" w:hAnsi="仿宋" w:eastAsia="仿宋"/>
                <w:color w:val="auto"/>
                <w:sz w:val="18"/>
                <w:szCs w:val="18"/>
              </w:rPr>
              <w:t>分；</w:t>
            </w:r>
          </w:p>
          <w:p w14:paraId="067CBA5B">
            <w:pPr>
              <w:pStyle w:val="26"/>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内容完整，售后服务方案基本科学、合理，基本考虑周全，基本到位，得</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分；</w:t>
            </w:r>
          </w:p>
          <w:p w14:paraId="7A05E024">
            <w:pPr>
              <w:pStyle w:val="26"/>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内容基本完整，售后服务方案科学、合理，有待优化，针对性一般，得</w:t>
            </w:r>
            <w:r>
              <w:rPr>
                <w:rFonts w:hint="eastAsia" w:ascii="仿宋" w:hAnsi="仿宋" w:eastAsia="仿宋"/>
                <w:color w:val="auto"/>
                <w:sz w:val="18"/>
                <w:szCs w:val="18"/>
                <w:lang w:val="en-US" w:eastAsia="zh-CN"/>
              </w:rPr>
              <w:t>0</w:t>
            </w:r>
            <w:r>
              <w:rPr>
                <w:rFonts w:hint="eastAsia" w:ascii="仿宋" w:hAnsi="仿宋" w:eastAsia="仿宋"/>
                <w:color w:val="auto"/>
                <w:sz w:val="18"/>
                <w:szCs w:val="18"/>
              </w:rPr>
              <w:t>-</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分；</w:t>
            </w:r>
          </w:p>
          <w:p w14:paraId="4E74AFED">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sz w:val="18"/>
                <w:szCs w:val="18"/>
              </w:rPr>
              <w:t>没有不得分。</w:t>
            </w:r>
          </w:p>
        </w:tc>
      </w:tr>
      <w:tr w14:paraId="137E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983774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10</w:t>
            </w:r>
          </w:p>
        </w:tc>
        <w:tc>
          <w:tcPr>
            <w:tcW w:w="1275" w:type="dxa"/>
            <w:vAlign w:val="center"/>
          </w:tcPr>
          <w:p w14:paraId="4384E026">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合理化建议</w:t>
            </w:r>
          </w:p>
        </w:tc>
        <w:tc>
          <w:tcPr>
            <w:tcW w:w="709" w:type="dxa"/>
            <w:vAlign w:val="center"/>
          </w:tcPr>
          <w:p w14:paraId="5B97F289">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w:t>
            </w:r>
          </w:p>
        </w:tc>
        <w:tc>
          <w:tcPr>
            <w:tcW w:w="6311" w:type="dxa"/>
            <w:vAlign w:val="center"/>
          </w:tcPr>
          <w:p w14:paraId="6F405EB6">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标方每采纳1条得</w:t>
            </w:r>
            <w:r>
              <w:rPr>
                <w:rFonts w:hint="eastAsia" w:ascii="仿宋" w:hAnsi="仿宋" w:eastAsia="仿宋" w:cs="仿宋"/>
                <w:snapToGrid w:val="0"/>
                <w:kern w:val="0"/>
                <w:sz w:val="18"/>
                <w:szCs w:val="18"/>
                <w:lang w:val="en-US" w:eastAsia="zh-CN"/>
              </w:rPr>
              <w:t>0.5</w:t>
            </w:r>
            <w:r>
              <w:rPr>
                <w:rFonts w:hint="eastAsia" w:ascii="仿宋" w:hAnsi="仿宋" w:eastAsia="仿宋" w:cs="仿宋"/>
                <w:snapToGrid w:val="0"/>
                <w:kern w:val="0"/>
                <w:sz w:val="18"/>
                <w:szCs w:val="18"/>
              </w:rPr>
              <w:t>分，最高</w:t>
            </w:r>
            <w:r>
              <w:rPr>
                <w:rFonts w:hint="eastAsia" w:ascii="仿宋" w:hAnsi="仿宋" w:eastAsia="仿宋" w:cs="仿宋"/>
                <w:snapToGrid w:val="0"/>
                <w:kern w:val="0"/>
                <w:sz w:val="18"/>
                <w:szCs w:val="18"/>
                <w:lang w:val="en-US" w:eastAsia="zh-CN"/>
              </w:rPr>
              <w:t>1</w:t>
            </w:r>
            <w:r>
              <w:rPr>
                <w:rFonts w:hint="eastAsia" w:ascii="仿宋" w:hAnsi="仿宋" w:eastAsia="仿宋" w:cs="仿宋"/>
                <w:snapToGrid w:val="0"/>
                <w:kern w:val="0"/>
                <w:sz w:val="18"/>
                <w:szCs w:val="18"/>
              </w:rPr>
              <w:t>分；</w:t>
            </w:r>
          </w:p>
        </w:tc>
      </w:tr>
      <w:tr w14:paraId="7EE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4A9908D">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11</w:t>
            </w:r>
          </w:p>
        </w:tc>
        <w:tc>
          <w:tcPr>
            <w:tcW w:w="1275" w:type="dxa"/>
            <w:vAlign w:val="center"/>
          </w:tcPr>
          <w:p w14:paraId="281B593A">
            <w:pPr>
              <w:snapToGrid w:val="0"/>
              <w:spacing w:line="240" w:lineRule="exact"/>
              <w:jc w:val="center"/>
              <w:rPr>
                <w:rFonts w:ascii="仿宋" w:hAnsi="仿宋" w:eastAsia="仿宋" w:cs="仿宋"/>
                <w:snapToGrid w:val="0"/>
                <w:kern w:val="0"/>
                <w:sz w:val="18"/>
                <w:szCs w:val="18"/>
              </w:rPr>
            </w:pPr>
            <w:r>
              <w:rPr>
                <w:rFonts w:ascii="仿宋" w:hAnsi="仿宋" w:eastAsia="仿宋"/>
                <w:sz w:val="18"/>
                <w:szCs w:val="18"/>
              </w:rPr>
              <w:t>综合评价</w:t>
            </w:r>
          </w:p>
        </w:tc>
        <w:tc>
          <w:tcPr>
            <w:tcW w:w="709" w:type="dxa"/>
            <w:vAlign w:val="center"/>
          </w:tcPr>
          <w:p w14:paraId="3C3ABE0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49979C6">
            <w:pPr>
              <w:suppressLineNumbers/>
              <w:suppressAutoHyphens/>
              <w:kinsoku w:val="0"/>
              <w:snapToGrid w:val="0"/>
              <w:spacing w:line="240" w:lineRule="exact"/>
              <w:ind w:left="119" w:leftChars="57"/>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由评委根据投标人投标文件编制的详实、合理、认真程度等综合印象进行独立打</w:t>
            </w:r>
            <w:r>
              <w:rPr>
                <w:rFonts w:hint="eastAsia" w:ascii="仿宋" w:hAnsi="仿宋" w:eastAsia="仿宋" w:cs="仿宋"/>
                <w:snapToGrid w:val="0"/>
                <w:kern w:val="0"/>
                <w:sz w:val="18"/>
                <w:szCs w:val="18"/>
              </w:rPr>
              <w:t>分</w:t>
            </w:r>
            <w:r>
              <w:rPr>
                <w:rFonts w:ascii="仿宋" w:hAnsi="仿宋" w:eastAsia="仿宋" w:cs="仿宋"/>
                <w:snapToGrid w:val="0"/>
                <w:kern w:val="0"/>
                <w:sz w:val="18"/>
                <w:szCs w:val="18"/>
              </w:rPr>
              <w:t>0-3分</w:t>
            </w:r>
          </w:p>
        </w:tc>
      </w:tr>
    </w:tbl>
    <w:p w14:paraId="67DF5468">
      <w:pPr>
        <w:spacing w:line="460" w:lineRule="exact"/>
        <w:rPr>
          <w:rFonts w:ascii="仿宋" w:hAnsi="仿宋" w:eastAsia="仿宋"/>
          <w:b/>
          <w:bCs/>
          <w:sz w:val="28"/>
          <w:szCs w:val="28"/>
        </w:rPr>
      </w:pPr>
      <w:r>
        <w:rPr>
          <w:rFonts w:hint="eastAsia" w:ascii="仿宋" w:hAnsi="仿宋" w:eastAsia="仿宋"/>
          <w:sz w:val="28"/>
          <w:szCs w:val="28"/>
        </w:rPr>
        <w:t xml:space="preserve"> </w:t>
      </w:r>
      <w:r>
        <w:rPr>
          <w:rFonts w:hint="eastAsia" w:ascii="仿宋" w:hAnsi="仿宋" w:eastAsia="仿宋"/>
          <w:b/>
          <w:bCs/>
          <w:sz w:val="28"/>
          <w:szCs w:val="28"/>
        </w:rPr>
        <w:t>四、授予合同</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hint="eastAsia" w:ascii="仿宋" w:hAnsi="仿宋" w:eastAsia="仿宋"/>
          <w:sz w:val="28"/>
          <w:szCs w:val="28"/>
          <w:lang w:val="en-US" w:eastAsia="zh-CN"/>
        </w:rPr>
        <w:t>10</w:t>
      </w:r>
      <w:r>
        <w:rPr>
          <w:rFonts w:hint="eastAsia" w:ascii="仿宋" w:hAnsi="仿宋" w:eastAsia="仿宋"/>
          <w:sz w:val="28"/>
          <w:szCs w:val="28"/>
        </w:rPr>
        <w:t>日内，按买方约定的时间、地点与买方签订合同。</w:t>
      </w:r>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666DF908">
      <w:pPr>
        <w:spacing w:line="460" w:lineRule="exact"/>
        <w:ind w:firstLine="560" w:firstLineChars="200"/>
        <w:rPr>
          <w:rFonts w:ascii="仿宋" w:hAnsi="仿宋" w:eastAsia="仿宋"/>
          <w:sz w:val="28"/>
          <w:szCs w:val="28"/>
        </w:rPr>
      </w:pPr>
      <w:r>
        <w:rPr>
          <w:rFonts w:hint="eastAsia" w:ascii="仿宋" w:hAnsi="仿宋" w:eastAsia="仿宋"/>
          <w:sz w:val="28"/>
          <w:szCs w:val="28"/>
        </w:rPr>
        <w:t>一切与投标有关的费用均由投标人自理。</w:t>
      </w:r>
    </w:p>
    <w:p w14:paraId="23F7899D">
      <w:pPr>
        <w:spacing w:line="460" w:lineRule="exact"/>
        <w:rPr>
          <w:rFonts w:ascii="仿宋" w:hAnsi="仿宋" w:eastAsia="仿宋"/>
          <w:b/>
          <w:bCs/>
          <w:sz w:val="28"/>
          <w:szCs w:val="28"/>
        </w:rPr>
      </w:pPr>
      <w:r>
        <w:rPr>
          <w:rFonts w:hint="eastAsia" w:ascii="仿宋" w:hAnsi="仿宋" w:eastAsia="仿宋"/>
          <w:b/>
          <w:bCs/>
          <w:sz w:val="28"/>
          <w:szCs w:val="28"/>
        </w:rPr>
        <w:t>六、投标人资格审查文件</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3）安全生产许可证、有关鉴定材料、相关资质许可证；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3CB80BEE">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投标保证金（人民币：贰万元整     </w:t>
      </w:r>
      <w:r>
        <w:rPr>
          <w:rFonts w:hint="eastAsia" w:ascii="仿宋" w:hAnsi="仿宋" w:eastAsia="仿宋" w:cs="仿宋"/>
          <w:sz w:val="28"/>
          <w:szCs w:val="28"/>
        </w:rPr>
        <w:t>￥200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7BAE8E3C">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5</w:t>
      </w:r>
      <w:r>
        <w:rPr>
          <w:rFonts w:ascii="仿宋" w:hAnsi="仿宋" w:eastAsia="仿宋"/>
          <w:sz w:val="28"/>
          <w:szCs w:val="28"/>
        </w:rPr>
        <w:t>月</w:t>
      </w:r>
      <w:r>
        <w:rPr>
          <w:rFonts w:hint="eastAsia" w:ascii="仿宋" w:hAnsi="仿宋" w:eastAsia="仿宋"/>
          <w:sz w:val="28"/>
          <w:szCs w:val="28"/>
          <w:lang w:val="en-US" w:eastAsia="zh-CN"/>
        </w:rPr>
        <w:t>5</w:t>
      </w:r>
      <w:r>
        <w:rPr>
          <w:rFonts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时（北京时间）前到账，投标截止时间之后递交的投标保证金将被拒绝。公对公电汇转账方式缴纳（不接受现金及个人转账）。 最终以洛阳万基宏远电力有限公司财务所开收到凭证为准。</w:t>
      </w:r>
    </w:p>
    <w:p w14:paraId="72939FC3">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2464E15F">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4D26B1C8">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607F2F4E">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 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 投标人违反纪律与保密的有关规定；</w:t>
      </w:r>
    </w:p>
    <w:p w14:paraId="5EFC7F0F">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 中标人违约，则该笔保证金将予以扣除，并将投标人列入信用黑名单。</w:t>
      </w:r>
    </w:p>
    <w:p w14:paraId="3006886F">
      <w:pPr>
        <w:spacing w:line="700" w:lineRule="exact"/>
        <w:rPr>
          <w:rFonts w:hint="eastAsia" w:ascii="仿宋" w:hAnsi="仿宋" w:eastAsia="仿宋"/>
          <w:sz w:val="28"/>
          <w:szCs w:val="24"/>
        </w:rPr>
      </w:pPr>
    </w:p>
    <w:p w14:paraId="38ED5D6D">
      <w:pPr>
        <w:spacing w:line="700" w:lineRule="exact"/>
        <w:rPr>
          <w:rFonts w:hint="eastAsia" w:ascii="仿宋" w:hAnsi="仿宋" w:eastAsia="仿宋"/>
          <w:sz w:val="28"/>
          <w:szCs w:val="24"/>
        </w:rPr>
      </w:pPr>
    </w:p>
    <w:p w14:paraId="2D5DBAB6">
      <w:pPr>
        <w:spacing w:line="700" w:lineRule="exact"/>
        <w:rPr>
          <w:rFonts w:hint="eastAsia" w:ascii="仿宋" w:hAnsi="仿宋" w:eastAsia="仿宋"/>
          <w:sz w:val="28"/>
          <w:szCs w:val="24"/>
        </w:rPr>
      </w:pPr>
    </w:p>
    <w:p w14:paraId="3291EAC5">
      <w:pPr>
        <w:spacing w:line="700" w:lineRule="exact"/>
        <w:rPr>
          <w:rFonts w:hint="eastAsia" w:ascii="仿宋" w:hAnsi="仿宋" w:eastAsia="仿宋"/>
          <w:sz w:val="28"/>
          <w:szCs w:val="24"/>
        </w:rPr>
      </w:pPr>
    </w:p>
    <w:p w14:paraId="64844864">
      <w:pPr>
        <w:spacing w:line="700" w:lineRule="exact"/>
        <w:rPr>
          <w:rFonts w:hint="eastAsia" w:ascii="仿宋" w:hAnsi="仿宋" w:eastAsia="仿宋"/>
          <w:sz w:val="28"/>
          <w:szCs w:val="24"/>
        </w:rPr>
      </w:pPr>
    </w:p>
    <w:p w14:paraId="5B0ACE96">
      <w:pPr>
        <w:spacing w:line="700" w:lineRule="exact"/>
        <w:rPr>
          <w:rFonts w:hint="eastAsia" w:ascii="仿宋" w:hAnsi="仿宋" w:eastAsia="仿宋"/>
          <w:sz w:val="28"/>
          <w:szCs w:val="24"/>
        </w:rPr>
      </w:pPr>
    </w:p>
    <w:p w14:paraId="6A6FE75F">
      <w:pPr>
        <w:spacing w:line="700" w:lineRule="exact"/>
        <w:rPr>
          <w:rFonts w:hint="eastAsia" w:ascii="仿宋" w:hAnsi="仿宋" w:eastAsia="仿宋"/>
          <w:sz w:val="28"/>
          <w:szCs w:val="24"/>
        </w:rPr>
      </w:pPr>
    </w:p>
    <w:p w14:paraId="4E6F17F4">
      <w:pPr>
        <w:spacing w:line="700" w:lineRule="exact"/>
        <w:rPr>
          <w:rFonts w:hint="eastAsia" w:ascii="仿宋" w:hAnsi="仿宋" w:eastAsia="仿宋"/>
          <w:sz w:val="28"/>
          <w:szCs w:val="24"/>
        </w:rPr>
      </w:pPr>
    </w:p>
    <w:p w14:paraId="4D44811F">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0"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088836C3">
      <w:pPr>
        <w:spacing w:line="500" w:lineRule="exact"/>
        <w:rPr>
          <w:rFonts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51E2B1F2">
      <w:pPr>
        <w:spacing w:line="500" w:lineRule="exact"/>
        <w:ind w:firstLine="560" w:firstLineChars="200"/>
        <w:rPr>
          <w:rFonts w:ascii="仿宋" w:hAnsi="仿宋" w:eastAsia="仿宋"/>
          <w:sz w:val="28"/>
          <w:szCs w:val="28"/>
        </w:rPr>
      </w:pPr>
    </w:p>
    <w:p w14:paraId="447FB1EB">
      <w:pPr>
        <w:spacing w:line="360" w:lineRule="auto"/>
      </w:pPr>
    </w:p>
    <w:p w14:paraId="0C1FC80D">
      <w:pPr>
        <w:pStyle w:val="55"/>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F8CF28C">
      <w:pPr>
        <w:pStyle w:val="55"/>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C881D74">
      <w:pPr>
        <w:pStyle w:val="55"/>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304390D">
      <w:pPr>
        <w:pStyle w:val="55"/>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55"/>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55"/>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6BB8C2CF">
      <w:pPr>
        <w:spacing w:line="700" w:lineRule="exact"/>
        <w:rPr>
          <w:rFonts w:ascii="仿宋" w:hAnsi="仿宋" w:eastAsia="仿宋"/>
          <w:sz w:val="28"/>
          <w:szCs w:val="24"/>
        </w:rPr>
      </w:pPr>
    </w:p>
    <w:p w14:paraId="1F719C5D">
      <w:pPr>
        <w:spacing w:line="700" w:lineRule="exact"/>
        <w:rPr>
          <w:rFonts w:ascii="仿宋" w:hAnsi="仿宋" w:eastAsia="仿宋"/>
          <w:sz w:val="28"/>
          <w:szCs w:val="24"/>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7F8C51A2">
      <w:pPr>
        <w:tabs>
          <w:tab w:val="left" w:pos="630"/>
        </w:tabs>
        <w:spacing w:line="360" w:lineRule="auto"/>
        <w:jc w:val="center"/>
        <w:rPr>
          <w:rFonts w:ascii="仿宋" w:hAnsi="仿宋" w:eastAsia="仿宋"/>
          <w:b/>
          <w:sz w:val="32"/>
          <w:szCs w:val="32"/>
        </w:rPr>
      </w:pP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2C852C15">
      <w:pPr>
        <w:spacing w:line="360" w:lineRule="auto"/>
      </w:pPr>
    </w:p>
    <w:p w14:paraId="1FCC3B01">
      <w:pPr>
        <w:spacing w:line="500" w:lineRule="exact"/>
        <w:rPr>
          <w:rFonts w:ascii="仿宋" w:hAnsi="仿宋" w:eastAsia="仿宋"/>
          <w:sz w:val="28"/>
          <w:szCs w:val="24"/>
        </w:rPr>
      </w:pPr>
    </w:p>
    <w:p w14:paraId="73F760E8">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4C3398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340974C7">
      <w:pPr>
        <w:keepNext w:val="0"/>
        <w:keepLines w:val="0"/>
        <w:pageBreakBefore w:val="0"/>
        <w:widowControl w:val="0"/>
        <w:kinsoku/>
        <w:wordWrap/>
        <w:overflowPunct/>
        <w:topLinePunct w:val="0"/>
        <w:autoSpaceDE/>
        <w:autoSpaceDN/>
        <w:bidi w:val="0"/>
        <w:adjustRightInd/>
        <w:snapToGrid/>
        <w:spacing w:line="500" w:lineRule="exact"/>
        <w:ind w:right="0" w:rightChars="0" w:firstLine="880" w:firstLineChars="200"/>
        <w:jc w:val="both"/>
        <w:textAlignment w:val="auto"/>
        <w:outlineLvl w:val="9"/>
        <w:rPr>
          <w:rFonts w:hint="eastAsia" w:ascii="仿宋" w:hAnsi="仿宋" w:eastAsia="仿宋" w:cs="Times New Roman"/>
          <w:b/>
          <w:bCs/>
          <w:color w:val="auto"/>
          <w:sz w:val="44"/>
          <w:szCs w:val="44"/>
          <w:lang w:val="en-US" w:eastAsia="zh-CN"/>
        </w:rPr>
      </w:pPr>
    </w:p>
    <w:p w14:paraId="1B63ABF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794E0B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13B31513">
      <w:pPr>
        <w:tabs>
          <w:tab w:val="left" w:pos="630"/>
          <w:tab w:val="left" w:pos="7560"/>
        </w:tabs>
        <w:spacing w:line="360" w:lineRule="auto"/>
        <w:rPr>
          <w:rFonts w:hint="eastAsia" w:ascii="仿宋" w:hAnsi="仿宋" w:eastAsia="仿宋"/>
          <w:sz w:val="28"/>
          <w:szCs w:val="28"/>
        </w:rPr>
      </w:pPr>
    </w:p>
    <w:p w14:paraId="5D47C21D">
      <w:pPr>
        <w:tabs>
          <w:tab w:val="left" w:pos="630"/>
          <w:tab w:val="left" w:pos="7560"/>
        </w:tabs>
        <w:spacing w:line="360" w:lineRule="auto"/>
        <w:jc w:val="center"/>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宏远电力#2机组循环水泵变频改造项目报价单</w:t>
      </w:r>
    </w:p>
    <w:p w14:paraId="2F5604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60"/>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1280DF0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宏远电力#2机组循环水泵变频改造项目</w:t>
            </w:r>
          </w:p>
          <w:p w14:paraId="41469BD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w:t>
      </w:r>
      <w:r>
        <w:rPr>
          <w:rFonts w:hint="eastAsia" w:ascii="仿宋" w:hAnsi="仿宋" w:eastAsia="仿宋" w:cs="Times New Roman"/>
          <w:b w:val="0"/>
          <w:bCs w:val="0"/>
          <w:color w:val="auto"/>
          <w:sz w:val="30"/>
          <w:szCs w:val="30"/>
          <w:lang w:val="en-US" w:eastAsia="zh-CN"/>
        </w:rPr>
        <w:t>24</w:t>
      </w:r>
      <w:r>
        <w:rPr>
          <w:rFonts w:hint="eastAsia" w:ascii="仿宋" w:hAnsi="仿宋" w:eastAsia="仿宋" w:cs="Times New Roman"/>
          <w:b w:val="0"/>
          <w:bCs w:val="0"/>
          <w:color w:val="auto"/>
          <w:sz w:val="30"/>
          <w:szCs w:val="30"/>
          <w:lang w:eastAsia="zh-CN"/>
        </w:rPr>
        <w:t>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78BFF67">
      <w:pPr>
        <w:spacing w:line="360" w:lineRule="auto"/>
      </w:pPr>
    </w:p>
    <w:p w14:paraId="3CBE1B8D">
      <w:pPr>
        <w:spacing w:line="360" w:lineRule="auto"/>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53C9CD9E">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r>
        <w:rPr>
          <w:rFonts w:hint="eastAsia" w:ascii="仿宋" w:hAnsi="仿宋" w:eastAsia="仿宋" w:cs="宋体"/>
          <w:b/>
          <w:bCs/>
          <w:sz w:val="44"/>
          <w:szCs w:val="44"/>
        </w:rPr>
        <w:t>有限公司</w:t>
      </w:r>
    </w:p>
    <w:p w14:paraId="7FE207CD">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p>
    <w:p w14:paraId="1D5248C6">
      <w:pPr>
        <w:spacing w:line="380" w:lineRule="atLeast"/>
        <w:jc w:val="center"/>
        <w:rPr>
          <w:rFonts w:ascii="仿宋_GB2312" w:hAnsi="仿宋" w:eastAsia="仿宋_GB2312"/>
          <w:b/>
          <w:bCs/>
          <w:sz w:val="44"/>
          <w:szCs w:val="44"/>
        </w:rPr>
      </w:pPr>
    </w:p>
    <w:p w14:paraId="78BE8CCC">
      <w:pPr>
        <w:spacing w:line="380" w:lineRule="atLeast"/>
        <w:jc w:val="center"/>
        <w:rPr>
          <w:rFonts w:ascii="仿宋_GB2312" w:hAnsi="仿宋" w:eastAsia="仿宋_GB2312"/>
          <w:b/>
          <w:bCs/>
          <w:sz w:val="44"/>
          <w:szCs w:val="44"/>
        </w:rPr>
      </w:pPr>
    </w:p>
    <w:p w14:paraId="412C6924">
      <w:pPr>
        <w:jc w:val="center"/>
        <w:rPr>
          <w:rFonts w:ascii="仿宋_GB2312" w:hAnsi="仿宋" w:eastAsia="仿宋_GB2312"/>
          <w:b/>
          <w:sz w:val="72"/>
          <w:szCs w:val="72"/>
        </w:rPr>
      </w:pPr>
    </w:p>
    <w:p w14:paraId="5FCA6DCE">
      <w:pPr>
        <w:jc w:val="center"/>
        <w:rPr>
          <w:rFonts w:ascii="仿宋_GB2312" w:hAnsi="仿宋" w:eastAsia="仿宋_GB2312"/>
          <w:b/>
          <w:color w:val="000000"/>
          <w:sz w:val="72"/>
          <w:szCs w:val="72"/>
        </w:rPr>
      </w:pPr>
      <w:r>
        <w:rPr>
          <w:rFonts w:hint="eastAsia" w:ascii="仿宋_GB2312" w:hAnsi="仿宋" w:eastAsia="仿宋_GB2312"/>
          <w:b/>
          <w:color w:val="000000"/>
          <w:sz w:val="72"/>
          <w:szCs w:val="72"/>
        </w:rPr>
        <w:t>商 务 合 同</w:t>
      </w:r>
    </w:p>
    <w:p w14:paraId="28955B35">
      <w:pPr>
        <w:spacing w:line="560" w:lineRule="exact"/>
        <w:ind w:firstLine="2720" w:firstLineChars="850"/>
        <w:rPr>
          <w:rFonts w:ascii="仿宋_GB2312" w:hAnsi="仿宋" w:eastAsia="仿宋_GB2312"/>
          <w:color w:val="000000"/>
          <w:sz w:val="32"/>
          <w:szCs w:val="32"/>
        </w:rPr>
      </w:pPr>
      <w:r>
        <w:rPr>
          <w:rFonts w:hint="eastAsia" w:ascii="仿宋_GB2312" w:hAnsi="仿宋" w:eastAsia="仿宋_GB2312"/>
          <w:color w:val="000000"/>
          <w:sz w:val="32"/>
          <w:szCs w:val="32"/>
        </w:rPr>
        <w:t>合同编号：WJ-CG(202</w:t>
      </w:r>
      <w:r>
        <w:rPr>
          <w:rFonts w:ascii="仿宋_GB2312" w:hAnsi="仿宋" w:eastAsia="仿宋_GB2312"/>
          <w:color w:val="000000"/>
          <w:sz w:val="32"/>
          <w:szCs w:val="32"/>
        </w:rPr>
        <w:t>4</w:t>
      </w:r>
      <w:r>
        <w:rPr>
          <w:rFonts w:hint="eastAsia" w:ascii="仿宋_GB2312" w:hAnsi="仿宋" w:eastAsia="仿宋_GB2312"/>
          <w:color w:val="000000"/>
          <w:sz w:val="32"/>
          <w:szCs w:val="32"/>
        </w:rPr>
        <w:t>)</w:t>
      </w:r>
      <w:r>
        <w:rPr>
          <w:rFonts w:ascii="仿宋_GB2312" w:hAnsi="仿宋" w:eastAsia="仿宋_GB2312"/>
          <w:color w:val="000000"/>
          <w:sz w:val="32"/>
          <w:szCs w:val="32"/>
        </w:rPr>
        <w:t>***</w:t>
      </w:r>
    </w:p>
    <w:p w14:paraId="3F95AC53">
      <w:pPr>
        <w:pStyle w:val="6"/>
        <w:numPr>
          <w:numId w:val="0"/>
        </w:numPr>
        <w:ind w:left="1260" w:leftChars="0"/>
      </w:pPr>
    </w:p>
    <w:p w14:paraId="1FA2B32C"/>
    <w:p w14:paraId="04D8D2FB">
      <w:pPr>
        <w:spacing w:line="360" w:lineRule="auto"/>
        <w:rPr>
          <w:rFonts w:ascii="仿宋_GB2312" w:hAnsi="仿宋" w:eastAsia="仿宋_GB2312" w:cs="宋体"/>
          <w:color w:val="000000"/>
          <w:sz w:val="32"/>
          <w:szCs w:val="32"/>
        </w:rPr>
      </w:pPr>
    </w:p>
    <w:p w14:paraId="0D2288AE">
      <w:pPr>
        <w:spacing w:line="560" w:lineRule="exact"/>
        <w:ind w:firstLine="640" w:firstLineChars="200"/>
        <w:rPr>
          <w:rFonts w:ascii="仿宋_GB2312" w:hAnsi="仿宋" w:eastAsia="仿宋_GB2312" w:cs="宋体"/>
          <w:color w:val="000000"/>
          <w:sz w:val="32"/>
          <w:szCs w:val="32"/>
        </w:rPr>
      </w:pPr>
    </w:p>
    <w:p w14:paraId="00E2361C">
      <w:pPr>
        <w:spacing w:line="560" w:lineRule="exact"/>
        <w:ind w:firstLine="640" w:firstLineChars="200"/>
        <w:rPr>
          <w:rFonts w:ascii="仿宋_GB2312" w:hAnsi="仿宋" w:eastAsia="仿宋_GB2312" w:cs="宋体"/>
          <w:color w:val="000000"/>
          <w:sz w:val="32"/>
          <w:szCs w:val="32"/>
        </w:rPr>
      </w:pPr>
    </w:p>
    <w:p w14:paraId="01427ACF">
      <w:pPr>
        <w:spacing w:line="560" w:lineRule="exact"/>
        <w:ind w:firstLine="640" w:firstLineChars="200"/>
        <w:rPr>
          <w:rFonts w:ascii="仿宋_GB2312" w:hAnsi="仿宋" w:eastAsia="仿宋_GB2312" w:cs="宋体"/>
          <w:color w:val="000000"/>
          <w:sz w:val="32"/>
          <w:szCs w:val="32"/>
        </w:rPr>
      </w:pPr>
    </w:p>
    <w:p w14:paraId="6E6E183C">
      <w:pPr>
        <w:spacing w:line="560" w:lineRule="exact"/>
        <w:ind w:firstLine="640" w:firstLineChars="200"/>
        <w:jc w:val="center"/>
        <w:rPr>
          <w:rFonts w:ascii="仿宋_GB2312" w:hAnsi="仿宋" w:eastAsia="仿宋_GB2312" w:cs="宋体"/>
          <w:color w:val="000000"/>
          <w:sz w:val="32"/>
          <w:szCs w:val="32"/>
        </w:rPr>
      </w:pPr>
      <w:r>
        <w:rPr>
          <w:rFonts w:hint="eastAsia" w:ascii="仿宋_GB2312" w:hAnsi="仿宋" w:eastAsia="仿宋_GB2312" w:cs="宋体"/>
          <w:color w:val="000000"/>
          <w:sz w:val="32"/>
          <w:szCs w:val="32"/>
        </w:rPr>
        <w:t>甲方：*</w:t>
      </w:r>
      <w:r>
        <w:rPr>
          <w:rFonts w:ascii="仿宋_GB2312" w:hAnsi="仿宋" w:eastAsia="仿宋_GB2312" w:cs="宋体"/>
          <w:color w:val="000000"/>
          <w:sz w:val="32"/>
          <w:szCs w:val="32"/>
        </w:rPr>
        <w:t>*******************</w:t>
      </w:r>
    </w:p>
    <w:p w14:paraId="10A4B49D">
      <w:pPr>
        <w:spacing w:line="56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 xml:space="preserve">             乙方：*</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公司</w:t>
      </w:r>
    </w:p>
    <w:p w14:paraId="19B1AB1A">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签订时间：202</w:t>
      </w:r>
      <w:r>
        <w:rPr>
          <w:rFonts w:hint="eastAsia" w:ascii="仿宋_GB2312" w:hAnsi="仿宋" w:eastAsia="仿宋_GB2312" w:cs="宋体"/>
          <w:color w:val="000000"/>
          <w:sz w:val="32"/>
          <w:szCs w:val="32"/>
          <w:lang w:val="en-US" w:eastAsia="zh-CN"/>
        </w:rPr>
        <w:t>6</w:t>
      </w:r>
      <w:r>
        <w:rPr>
          <w:rFonts w:hint="eastAsia" w:ascii="仿宋_GB2312" w:hAnsi="仿宋" w:eastAsia="仿宋_GB2312" w:cs="宋体"/>
          <w:color w:val="000000"/>
          <w:sz w:val="32"/>
          <w:szCs w:val="32"/>
        </w:rPr>
        <w:t>年</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月</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日</w:t>
      </w:r>
    </w:p>
    <w:p w14:paraId="4FFDC389">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签订地点：新安县产业集聚区</w:t>
      </w:r>
    </w:p>
    <w:p w14:paraId="7D130A48">
      <w:pPr>
        <w:tabs>
          <w:tab w:val="left" w:pos="8280"/>
        </w:tabs>
        <w:spacing w:line="500" w:lineRule="exact"/>
        <w:rPr>
          <w:rFonts w:ascii="仿宋_GB2312" w:hAnsi="仿宋" w:eastAsia="仿宋_GB2312"/>
          <w:bCs/>
          <w:color w:val="000000"/>
          <w:sz w:val="28"/>
          <w:szCs w:val="28"/>
        </w:rPr>
      </w:pPr>
    </w:p>
    <w:p w14:paraId="5543365C">
      <w:pPr>
        <w:tabs>
          <w:tab w:val="left" w:pos="8280"/>
        </w:tabs>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就甲方*</w:t>
      </w:r>
      <w:r>
        <w:rPr>
          <w:rFonts w:ascii="仿宋_GB2312" w:hAnsi="仿宋" w:eastAsia="仿宋_GB2312"/>
          <w:bCs/>
          <w:color w:val="000000"/>
          <w:sz w:val="28"/>
          <w:szCs w:val="28"/>
        </w:rPr>
        <w:t>********</w:t>
      </w:r>
      <w:r>
        <w:rPr>
          <w:rFonts w:hint="eastAsia" w:ascii="仿宋_GB2312" w:hAnsi="仿宋" w:eastAsia="仿宋_GB2312"/>
          <w:bCs/>
          <w:color w:val="000000"/>
          <w:sz w:val="28"/>
          <w:szCs w:val="28"/>
        </w:rPr>
        <w:t>事宜，甲乙双方本着平等互利的原则，经友好协商，同意按如下条款签订本合同。</w:t>
      </w:r>
    </w:p>
    <w:p w14:paraId="0E894E3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448AC2A3">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1、“合同”指甲方和乙方（以下简称合同双方）已达成的协议，即由双方签订的合同中的文件，包括技术协议、所有的附件、附录和组成合同部分的所有其它文件。</w:t>
      </w:r>
    </w:p>
    <w:p w14:paraId="1A59D091">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2、“合同价格”指合同规定，在乙方全面正确的履行合同义务时甲方应支付给乙方的款项。</w:t>
      </w:r>
    </w:p>
    <w:p w14:paraId="02A30CFE">
      <w:pPr>
        <w:snapToGrid w:val="0"/>
        <w:spacing w:line="460" w:lineRule="exact"/>
        <w:ind w:firstLine="700" w:firstLineChars="250"/>
        <w:rPr>
          <w:rFonts w:ascii="仿宋_GB2312" w:hAnsi="仿宋" w:eastAsia="仿宋_GB2312"/>
          <w:bCs/>
          <w:sz w:val="28"/>
          <w:szCs w:val="28"/>
        </w:rPr>
      </w:pPr>
      <w:r>
        <w:rPr>
          <w:rFonts w:hint="eastAsia" w:ascii="仿宋_GB2312" w:hAnsi="仿宋" w:eastAsia="仿宋_GB2312"/>
          <w:bCs/>
          <w:sz w:val="28"/>
          <w:szCs w:val="28"/>
        </w:rPr>
        <w:t>3、“**”指乙方按合同要求，须向甲方提供的**服务。</w:t>
      </w:r>
    </w:p>
    <w:p w14:paraId="4436163C">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4、“服务”指合同规定乙方须承担的**、技术协助、培训以及其它类似的售后服务义务。</w:t>
      </w:r>
    </w:p>
    <w:p w14:paraId="69FFCAD9">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5、“现场”指将要进行维修保养的设备所在地点，即：**公司现场。</w:t>
      </w:r>
    </w:p>
    <w:p w14:paraId="1515C98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6、“验收”指甲方依据合同所附技术协议书的规定接受维护保养所依据的程序和条件。</w:t>
      </w:r>
    </w:p>
    <w:p w14:paraId="7FE088E4">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2    大修范围</w:t>
      </w:r>
    </w:p>
    <w:p w14:paraId="63F09F0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1、项目名称：*</w:t>
      </w:r>
      <w:r>
        <w:rPr>
          <w:rFonts w:ascii="仿宋_GB2312" w:hAnsi="仿宋" w:eastAsia="仿宋_GB2312"/>
          <w:bCs/>
          <w:color w:val="000000"/>
          <w:sz w:val="28"/>
          <w:szCs w:val="28"/>
        </w:rPr>
        <w:t>****************</w:t>
      </w:r>
    </w:p>
    <w:p w14:paraId="211156F7">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1.1施工范围：详见技术协议书</w:t>
      </w:r>
    </w:p>
    <w:p w14:paraId="3141F488">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合同施工范围虽然在合同中有表述，但在执行过程中如发现有任何漏项和缺陷，在合同中并未列入而且确实是大修范围内应该有的并且是为了满足合同技术协议对合同设备的性能保证要求所必须的，是国家强制性要求必须的，均应由乙方负责将所缺的项目补上，所发生的费用由乙方负担。</w:t>
      </w:r>
    </w:p>
    <w:p w14:paraId="4FB77B78">
      <w:pPr>
        <w:snapToGrid w:val="0"/>
        <w:spacing w:line="60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4D089BCF">
      <w:pPr>
        <w:snapToGrid w:val="0"/>
        <w:spacing w:line="60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1、大修项目及价格：                        单位：元</w:t>
      </w:r>
    </w:p>
    <w:tbl>
      <w:tblPr>
        <w:tblStyle w:val="59"/>
        <w:tblW w:w="0" w:type="auto"/>
        <w:tblInd w:w="289" w:type="dxa"/>
        <w:tblLayout w:type="fixed"/>
        <w:tblCellMar>
          <w:top w:w="0" w:type="dxa"/>
          <w:left w:w="0" w:type="dxa"/>
          <w:bottom w:w="0" w:type="dxa"/>
          <w:right w:w="0" w:type="dxa"/>
        </w:tblCellMar>
      </w:tblPr>
      <w:tblGrid>
        <w:gridCol w:w="709"/>
        <w:gridCol w:w="2693"/>
        <w:gridCol w:w="1559"/>
        <w:gridCol w:w="709"/>
        <w:gridCol w:w="850"/>
        <w:gridCol w:w="1296"/>
        <w:gridCol w:w="1398"/>
      </w:tblGrid>
      <w:tr w14:paraId="3CF2C728">
        <w:tblPrEx>
          <w:tblCellMar>
            <w:top w:w="0" w:type="dxa"/>
            <w:left w:w="0" w:type="dxa"/>
            <w:bottom w:w="0" w:type="dxa"/>
            <w:right w:w="0" w:type="dxa"/>
          </w:tblCellMar>
        </w:tblPrEx>
        <w:trPr>
          <w:trHeight w:val="499" w:hRule="atLeast"/>
        </w:trPr>
        <w:tc>
          <w:tcPr>
            <w:tcW w:w="709" w:type="dxa"/>
            <w:tcBorders>
              <w:top w:val="single" w:color="auto" w:sz="4" w:space="0"/>
              <w:left w:val="single" w:color="auto" w:sz="4" w:space="0"/>
              <w:bottom w:val="single" w:color="auto" w:sz="4" w:space="0"/>
              <w:right w:val="single" w:color="auto" w:sz="4" w:space="0"/>
            </w:tcBorders>
            <w:vAlign w:val="center"/>
          </w:tcPr>
          <w:p w14:paraId="5E4E3FA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序号</w:t>
            </w:r>
          </w:p>
        </w:tc>
        <w:tc>
          <w:tcPr>
            <w:tcW w:w="2693" w:type="dxa"/>
            <w:tcBorders>
              <w:top w:val="single" w:color="auto" w:sz="4" w:space="0"/>
              <w:left w:val="nil"/>
              <w:bottom w:val="single" w:color="auto" w:sz="4" w:space="0"/>
              <w:right w:val="single" w:color="auto" w:sz="4" w:space="0"/>
            </w:tcBorders>
            <w:vAlign w:val="center"/>
          </w:tcPr>
          <w:p w14:paraId="7AEC88E9">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名称</w:t>
            </w:r>
          </w:p>
        </w:tc>
        <w:tc>
          <w:tcPr>
            <w:tcW w:w="1559" w:type="dxa"/>
            <w:tcBorders>
              <w:top w:val="single" w:color="auto" w:sz="4" w:space="0"/>
              <w:left w:val="nil"/>
              <w:bottom w:val="single" w:color="auto" w:sz="4" w:space="0"/>
              <w:right w:val="single" w:color="auto" w:sz="4" w:space="0"/>
            </w:tcBorders>
            <w:vAlign w:val="center"/>
          </w:tcPr>
          <w:p w14:paraId="5F4D4908">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型号</w:t>
            </w:r>
          </w:p>
        </w:tc>
        <w:tc>
          <w:tcPr>
            <w:tcW w:w="709" w:type="dxa"/>
            <w:tcBorders>
              <w:top w:val="single" w:color="auto" w:sz="4" w:space="0"/>
              <w:left w:val="nil"/>
              <w:bottom w:val="single" w:color="auto" w:sz="4" w:space="0"/>
              <w:right w:val="single" w:color="auto" w:sz="4" w:space="0"/>
            </w:tcBorders>
            <w:vAlign w:val="center"/>
          </w:tcPr>
          <w:p w14:paraId="32F79172">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单位</w:t>
            </w:r>
          </w:p>
        </w:tc>
        <w:tc>
          <w:tcPr>
            <w:tcW w:w="850" w:type="dxa"/>
            <w:tcBorders>
              <w:top w:val="single" w:color="auto" w:sz="4" w:space="0"/>
              <w:left w:val="nil"/>
              <w:bottom w:val="single" w:color="auto" w:sz="4" w:space="0"/>
              <w:right w:val="single" w:color="auto" w:sz="4" w:space="0"/>
            </w:tcBorders>
            <w:vAlign w:val="center"/>
          </w:tcPr>
          <w:p w14:paraId="5E939E93">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数量</w:t>
            </w:r>
          </w:p>
        </w:tc>
        <w:tc>
          <w:tcPr>
            <w:tcW w:w="1296" w:type="dxa"/>
            <w:tcBorders>
              <w:top w:val="single" w:color="auto" w:sz="4" w:space="0"/>
              <w:left w:val="nil"/>
              <w:bottom w:val="single" w:color="auto" w:sz="4" w:space="0"/>
              <w:right w:val="single" w:color="auto" w:sz="4" w:space="0"/>
            </w:tcBorders>
            <w:vAlign w:val="center"/>
          </w:tcPr>
          <w:p w14:paraId="60375746">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单价(元)</w:t>
            </w:r>
          </w:p>
        </w:tc>
        <w:tc>
          <w:tcPr>
            <w:tcW w:w="1398" w:type="dxa"/>
            <w:tcBorders>
              <w:top w:val="single" w:color="auto" w:sz="4" w:space="0"/>
              <w:left w:val="single" w:color="auto" w:sz="4" w:space="0"/>
              <w:bottom w:val="single" w:color="auto" w:sz="4" w:space="0"/>
              <w:right w:val="single" w:color="auto" w:sz="4" w:space="0"/>
            </w:tcBorders>
            <w:vAlign w:val="center"/>
          </w:tcPr>
          <w:p w14:paraId="461C0B8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总价(元)</w:t>
            </w:r>
          </w:p>
        </w:tc>
      </w:tr>
      <w:tr w14:paraId="2FABC495">
        <w:tblPrEx>
          <w:tblCellMar>
            <w:top w:w="0" w:type="dxa"/>
            <w:left w:w="0" w:type="dxa"/>
            <w:bottom w:w="0" w:type="dxa"/>
            <w:right w:w="0" w:type="dxa"/>
          </w:tblCellMar>
        </w:tblPrEx>
        <w:trPr>
          <w:trHeight w:val="485" w:hRule="atLeast"/>
        </w:trPr>
        <w:tc>
          <w:tcPr>
            <w:tcW w:w="709" w:type="dxa"/>
            <w:tcBorders>
              <w:top w:val="single" w:color="auto" w:sz="4" w:space="0"/>
              <w:left w:val="single" w:color="auto" w:sz="4" w:space="0"/>
              <w:bottom w:val="single" w:color="auto" w:sz="4" w:space="0"/>
              <w:right w:val="single" w:color="auto" w:sz="4" w:space="0"/>
            </w:tcBorders>
            <w:vAlign w:val="center"/>
          </w:tcPr>
          <w:p w14:paraId="48CF1B34">
            <w:pPr>
              <w:snapToGrid w:val="0"/>
              <w:spacing w:line="360" w:lineRule="auto"/>
              <w:ind w:firstLine="280" w:firstLineChars="100"/>
              <w:rPr>
                <w:rFonts w:ascii="仿宋_GB2312" w:hAnsi="仿宋" w:eastAsia="仿宋_GB2312"/>
                <w:bCs/>
                <w:color w:val="000000"/>
                <w:sz w:val="28"/>
                <w:szCs w:val="28"/>
              </w:rPr>
            </w:pPr>
            <w:r>
              <w:rPr>
                <w:rFonts w:hint="eastAsia" w:ascii="仿宋_GB2312" w:hAnsi="仿宋" w:eastAsia="仿宋_GB2312"/>
                <w:bCs/>
                <w:color w:val="000000"/>
                <w:sz w:val="28"/>
                <w:szCs w:val="28"/>
              </w:rPr>
              <w:t>1</w:t>
            </w:r>
          </w:p>
        </w:tc>
        <w:tc>
          <w:tcPr>
            <w:tcW w:w="2693" w:type="dxa"/>
            <w:tcBorders>
              <w:top w:val="single" w:color="auto" w:sz="4" w:space="0"/>
              <w:left w:val="nil"/>
              <w:bottom w:val="single" w:color="auto" w:sz="4" w:space="0"/>
              <w:right w:val="single" w:color="auto" w:sz="4" w:space="0"/>
            </w:tcBorders>
            <w:vAlign w:val="center"/>
          </w:tcPr>
          <w:p w14:paraId="4C537348">
            <w:pPr>
              <w:spacing w:line="360" w:lineRule="exact"/>
              <w:ind w:left="6720" w:hanging="6720" w:hangingChars="2400"/>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559" w:type="dxa"/>
            <w:tcBorders>
              <w:top w:val="single" w:color="auto" w:sz="4" w:space="0"/>
              <w:left w:val="nil"/>
              <w:bottom w:val="single" w:color="auto" w:sz="4" w:space="0"/>
              <w:right w:val="single" w:color="auto" w:sz="4" w:space="0"/>
            </w:tcBorders>
            <w:vAlign w:val="center"/>
          </w:tcPr>
          <w:p w14:paraId="387A5F62">
            <w:pPr>
              <w:jc w:val="center"/>
              <w:rPr>
                <w:rFonts w:ascii="仿宋_GB2312" w:hAnsi="仿宋" w:eastAsia="仿宋_GB2312" w:cs="宋体"/>
                <w:color w:val="000000"/>
                <w:sz w:val="28"/>
                <w:szCs w:val="28"/>
              </w:rPr>
            </w:pPr>
            <w:r>
              <w:rPr>
                <w:rFonts w:hint="eastAsia" w:ascii="仿宋_GB2312" w:hAnsi="仿宋" w:eastAsia="仿宋_GB2312" w:cs="宋体"/>
                <w:color w:val="000000"/>
                <w:sz w:val="24"/>
                <w:szCs w:val="24"/>
              </w:rPr>
              <w:t>详见技术协议</w:t>
            </w:r>
          </w:p>
        </w:tc>
        <w:tc>
          <w:tcPr>
            <w:tcW w:w="709" w:type="dxa"/>
            <w:tcBorders>
              <w:top w:val="single" w:color="auto" w:sz="4" w:space="0"/>
              <w:left w:val="nil"/>
              <w:bottom w:val="single" w:color="auto" w:sz="4" w:space="0"/>
              <w:right w:val="single" w:color="auto" w:sz="4" w:space="0"/>
            </w:tcBorders>
            <w:vAlign w:val="center"/>
          </w:tcPr>
          <w:p w14:paraId="49A9FE5B">
            <w:pPr>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台</w:t>
            </w:r>
          </w:p>
        </w:tc>
        <w:tc>
          <w:tcPr>
            <w:tcW w:w="850" w:type="dxa"/>
            <w:tcBorders>
              <w:top w:val="single" w:color="auto" w:sz="4" w:space="0"/>
              <w:left w:val="nil"/>
              <w:bottom w:val="single" w:color="auto" w:sz="4" w:space="0"/>
              <w:right w:val="single" w:color="auto" w:sz="4" w:space="0"/>
            </w:tcBorders>
            <w:vAlign w:val="center"/>
          </w:tcPr>
          <w:p w14:paraId="198FB50A">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296" w:type="dxa"/>
            <w:tcBorders>
              <w:top w:val="single" w:color="auto" w:sz="4" w:space="0"/>
              <w:left w:val="nil"/>
              <w:bottom w:val="single" w:color="auto" w:sz="4" w:space="0"/>
              <w:right w:val="single" w:color="auto" w:sz="4" w:space="0"/>
            </w:tcBorders>
            <w:vAlign w:val="center"/>
          </w:tcPr>
          <w:p w14:paraId="3920FB27">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c>
          <w:tcPr>
            <w:tcW w:w="1398" w:type="dxa"/>
            <w:tcBorders>
              <w:top w:val="single" w:color="auto" w:sz="4" w:space="0"/>
              <w:left w:val="single" w:color="auto" w:sz="4" w:space="0"/>
              <w:bottom w:val="single" w:color="auto" w:sz="4" w:space="0"/>
              <w:right w:val="single" w:color="auto" w:sz="4" w:space="0"/>
            </w:tcBorders>
            <w:vAlign w:val="center"/>
          </w:tcPr>
          <w:p w14:paraId="414FDBB0">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r>
      <w:tr w14:paraId="2701F23F">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6BA15334">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不含税单价：</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          税率：</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税额：</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w:t>
            </w:r>
          </w:p>
        </w:tc>
      </w:tr>
      <w:tr w14:paraId="5A8F0D5E">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10B71436">
            <w:pPr>
              <w:spacing w:line="360" w:lineRule="exact"/>
              <w:ind w:left="6720" w:hanging="6720" w:hangingChars="2400"/>
              <w:jc w:val="left"/>
              <w:rPr>
                <w:rFonts w:ascii="仿宋_GB2312" w:hAnsi="仿宋" w:eastAsia="仿宋_GB2312" w:cs="宋体"/>
                <w:color w:val="000000"/>
                <w:sz w:val="28"/>
                <w:szCs w:val="28"/>
              </w:rPr>
            </w:pPr>
            <w:r>
              <w:rPr>
                <w:rFonts w:hint="eastAsia" w:ascii="仿宋_GB2312" w:hAnsi="仿宋" w:eastAsia="仿宋_GB2312" w:cs="宋体"/>
                <w:color w:val="000000"/>
                <w:sz w:val="28"/>
                <w:szCs w:val="28"/>
              </w:rPr>
              <w:t>合计（人民币）大写：*</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元整                   ￥：</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.00元</w:t>
            </w:r>
          </w:p>
        </w:tc>
      </w:tr>
    </w:tbl>
    <w:p w14:paraId="3D00C05E">
      <w:pPr>
        <w:snapToGrid w:val="0"/>
        <w:spacing w:line="460" w:lineRule="exact"/>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2、本合同价格包括合同**费、协议包含的备件、专用工具、设计费、技术资料费、技术服务费、拆除费、安装费、调试费、培训费、质保期内的维护保养费、税费及与本合同有关的所有费用。</w:t>
      </w:r>
    </w:p>
    <w:p w14:paraId="60E09B3B">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3、上述合同价格为乙方一年期的大修费，不因任何因素的改变而改变，期限为202</w:t>
      </w:r>
      <w:r>
        <w:rPr>
          <w:rFonts w:ascii="仿宋_GB2312" w:hAnsi="仿宋" w:eastAsia="仿宋_GB2312"/>
          <w:bCs/>
          <w:color w:val="000000"/>
          <w:sz w:val="28"/>
          <w:szCs w:val="28"/>
        </w:rPr>
        <w:t>4</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日-2024年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w:t>
      </w:r>
    </w:p>
    <w:p w14:paraId="23B01268">
      <w:pPr>
        <w:tabs>
          <w:tab w:val="left" w:pos="540"/>
        </w:tabs>
        <w:snapToGrid w:val="0"/>
        <w:spacing w:line="460" w:lineRule="exact"/>
        <w:ind w:firstLine="2786" w:firstLineChars="995"/>
        <w:rPr>
          <w:rFonts w:ascii="仿宋_GB2312" w:hAnsi="宋体" w:eastAsia="仿宋_GB2312" w:cs="宋体"/>
          <w:color w:val="000000"/>
          <w:sz w:val="28"/>
          <w:szCs w:val="28"/>
        </w:rPr>
      </w:pPr>
      <w:r>
        <w:rPr>
          <w:rFonts w:hint="eastAsia" w:ascii="仿宋_GB2312" w:hAnsi="宋体" w:eastAsia="仿宋_GB2312"/>
          <w:b/>
          <w:color w:val="000000"/>
          <w:sz w:val="28"/>
          <w:szCs w:val="28"/>
        </w:rPr>
        <w:t xml:space="preserve">条  款 4     支  付    </w:t>
      </w:r>
    </w:p>
    <w:p w14:paraId="34BEEFCE">
      <w:pPr>
        <w:spacing w:line="460" w:lineRule="exact"/>
        <w:ind w:firstLine="420" w:firstLineChars="150"/>
        <w:rPr>
          <w:rFonts w:ascii="仿宋_GB2312" w:hAnsi="宋体" w:eastAsia="仿宋_GB2312" w:cs="宋体"/>
          <w:color w:val="FF0000"/>
          <w:sz w:val="28"/>
          <w:szCs w:val="28"/>
        </w:rPr>
      </w:pPr>
      <w:r>
        <w:rPr>
          <w:rFonts w:hint="eastAsia" w:ascii="仿宋_GB2312" w:hAnsi="宋体" w:eastAsia="仿宋_GB2312" w:cs="宋体"/>
          <w:color w:val="000000"/>
          <w:sz w:val="28"/>
          <w:szCs w:val="28"/>
        </w:rPr>
        <w:t>一、 合同总价的90%（即：</w:t>
      </w:r>
      <w:r>
        <w:rPr>
          <w:rFonts w:hint="eastAsia" w:ascii="仿宋_GB2312" w:hAnsi="宋体" w:eastAsia="仿宋_GB2312" w:cs="宋体"/>
          <w:color w:val="000000"/>
          <w:sz w:val="28"/>
          <w:szCs w:val="28"/>
          <w:u w:val="single"/>
        </w:rPr>
        <w:t xml:space="preserve">￥： </w:t>
      </w:r>
      <w:r>
        <w:rPr>
          <w:rFonts w:ascii="仿宋_GB2312" w:hAnsi="宋体" w:eastAsia="仿宋_GB2312" w:cs="宋体"/>
          <w:color w:val="000000"/>
          <w:sz w:val="28"/>
          <w:szCs w:val="28"/>
          <w:u w:val="single"/>
        </w:rPr>
        <w:t>****</w:t>
      </w:r>
      <w:r>
        <w:rPr>
          <w:rFonts w:hint="eastAsia" w:ascii="仿宋_GB2312" w:hAnsi="宋体" w:eastAsia="仿宋_GB2312" w:cs="宋体"/>
          <w:color w:val="000000"/>
          <w:sz w:val="28"/>
          <w:szCs w:val="28"/>
          <w:u w:val="single"/>
        </w:rPr>
        <w:t xml:space="preserve">.00元  </w:t>
      </w:r>
      <w:r>
        <w:rPr>
          <w:rFonts w:hint="eastAsia" w:ascii="仿宋_GB2312" w:hAnsi="宋体" w:eastAsia="仿宋_GB2312" w:cs="宋体"/>
          <w:color w:val="000000"/>
          <w:sz w:val="28"/>
          <w:szCs w:val="28"/>
        </w:rPr>
        <w:t>）在达到下列全部条件完整无误后，自甲方将发票验收入账后30天内</w:t>
      </w:r>
      <w:r>
        <w:rPr>
          <w:rFonts w:hint="eastAsia" w:ascii="仿宋_GB2312" w:hAnsi="宋体" w:eastAsia="仿宋_GB2312" w:cs="宋体"/>
          <w:sz w:val="28"/>
          <w:szCs w:val="28"/>
        </w:rPr>
        <w:t>支付：</w:t>
      </w:r>
    </w:p>
    <w:p w14:paraId="1C028B61">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202</w:t>
      </w:r>
      <w:r>
        <w:rPr>
          <w:rFonts w:ascii="仿宋_GB2312" w:hAnsi="宋体" w:eastAsia="仿宋_GB2312" w:cs="宋体"/>
          <w:sz w:val="28"/>
          <w:szCs w:val="28"/>
        </w:rPr>
        <w:t>4</w:t>
      </w:r>
      <w:r>
        <w:rPr>
          <w:rFonts w:hint="eastAsia" w:ascii="仿宋_GB2312" w:hAnsi="宋体" w:eastAsia="仿宋_GB2312" w:cs="宋体"/>
          <w:sz w:val="28"/>
          <w:szCs w:val="28"/>
        </w:rPr>
        <w:t>年</w:t>
      </w:r>
      <w:r>
        <w:rPr>
          <w:rFonts w:ascii="仿宋_GB2312" w:hAnsi="宋体" w:eastAsia="仿宋_GB2312" w:cs="宋体"/>
          <w:sz w:val="28"/>
          <w:szCs w:val="28"/>
        </w:rPr>
        <w:t>*</w:t>
      </w:r>
      <w:r>
        <w:rPr>
          <w:rFonts w:hint="eastAsia" w:ascii="仿宋_GB2312" w:hAnsi="宋体" w:eastAsia="仿宋_GB2312" w:cs="宋体"/>
          <w:sz w:val="28"/>
          <w:szCs w:val="28"/>
        </w:rPr>
        <w:t>月</w:t>
      </w:r>
      <w:r>
        <w:rPr>
          <w:rFonts w:ascii="仿宋_GB2312" w:hAnsi="宋体" w:eastAsia="仿宋_GB2312" w:cs="宋体"/>
          <w:sz w:val="28"/>
          <w:szCs w:val="28"/>
        </w:rPr>
        <w:t>***</w:t>
      </w:r>
      <w:r>
        <w:rPr>
          <w:rFonts w:hint="eastAsia" w:ascii="仿宋_GB2312" w:hAnsi="宋体" w:eastAsia="仿宋_GB2312" w:cs="宋体"/>
          <w:sz w:val="28"/>
          <w:szCs w:val="28"/>
        </w:rPr>
        <w:t>日后***达到技术协议要求的标准，由甲方出具的设备验收合格报告。</w:t>
      </w:r>
    </w:p>
    <w:p w14:paraId="28A9BE0A">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 乙方向甲方开具合同总额的增值税发票（税率为</w:t>
      </w:r>
      <w:r>
        <w:rPr>
          <w:rFonts w:ascii="仿宋_GB2312" w:hAnsi="宋体" w:eastAsia="仿宋_GB2312" w:cs="宋体"/>
          <w:sz w:val="28"/>
          <w:szCs w:val="28"/>
        </w:rPr>
        <w:t>**</w:t>
      </w:r>
      <w:r>
        <w:rPr>
          <w:rFonts w:hint="eastAsia" w:ascii="仿宋_GB2312" w:hAnsi="宋体" w:eastAsia="仿宋_GB2312" w:cs="宋体"/>
          <w:sz w:val="28"/>
          <w:szCs w:val="28"/>
        </w:rPr>
        <w:t>%，若出现税务部门不认可的发票，一切责任由乙方承担）和合同总价90%的财务收据（即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元 </w:t>
      </w:r>
      <w:r>
        <w:rPr>
          <w:rFonts w:hint="eastAsia" w:ascii="仿宋_GB2312" w:hAnsi="宋体" w:eastAsia="仿宋_GB2312" w:cs="宋体"/>
          <w:sz w:val="28"/>
          <w:szCs w:val="28"/>
        </w:rPr>
        <w:t>）。</w:t>
      </w:r>
    </w:p>
    <w:p w14:paraId="12EC4925">
      <w:pPr>
        <w:spacing w:line="460" w:lineRule="exact"/>
        <w:ind w:firstLine="420" w:firstLineChars="150"/>
        <w:rPr>
          <w:rFonts w:ascii="仿宋_GB2312" w:hAnsi="宋体" w:eastAsia="仿宋_GB2312" w:cs="宋体"/>
          <w:sz w:val="28"/>
          <w:szCs w:val="28"/>
        </w:rPr>
      </w:pPr>
      <w:r>
        <w:rPr>
          <w:rFonts w:hint="eastAsia" w:ascii="仿宋_GB2312" w:hAnsi="宋体" w:eastAsia="仿宋_GB2312" w:cs="宋体"/>
          <w:sz w:val="28"/>
          <w:szCs w:val="28"/>
        </w:rPr>
        <w:t>二、 合同总价的10%（即：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）在达到下列全部条件完整无误后，自甲方收到发票后30天内支付：</w:t>
      </w:r>
    </w:p>
    <w:p w14:paraId="0DBEDD2C">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首保结束后出具验收合格报告之日起12个月质保期结束，达到技术协议要求的标准无质量异议，由甲方出具大修质量合格报告。</w:t>
      </w:r>
    </w:p>
    <w:p w14:paraId="6E379475">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sz w:val="28"/>
          <w:szCs w:val="28"/>
        </w:rPr>
        <w:t>2． 乙方向甲方开具合同总价10%的财务收据（即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）甲方支付余款</w:t>
      </w:r>
      <w:r>
        <w:rPr>
          <w:rFonts w:hint="eastAsia" w:ascii="仿宋_GB2312" w:hAnsi="宋体" w:eastAsia="仿宋_GB2312" w:cs="宋体"/>
          <w:color w:val="000000"/>
          <w:sz w:val="28"/>
          <w:szCs w:val="28"/>
        </w:rPr>
        <w:t>。</w:t>
      </w:r>
    </w:p>
    <w:p w14:paraId="65474489">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3</w:t>
      </w:r>
      <w:r>
        <w:rPr>
          <w:rFonts w:hint="eastAsia" w:ascii="仿宋_GB2312" w:hAnsi="宋体" w:eastAsia="仿宋_GB2312" w:cs="宋体"/>
          <w:sz w:val="28"/>
          <w:szCs w:val="28"/>
        </w:rPr>
        <w:t>．质保期内后续大修不再办理质保手续。</w:t>
      </w:r>
    </w:p>
    <w:p w14:paraId="7A1D3BAB">
      <w:pPr>
        <w:snapToGrid w:val="0"/>
        <w:spacing w:line="100" w:lineRule="exact"/>
        <w:rPr>
          <w:rFonts w:ascii="仿宋_GB2312" w:hAnsi="仿宋" w:eastAsia="仿宋_GB2312"/>
          <w:bCs/>
          <w:color w:val="000000"/>
          <w:sz w:val="28"/>
          <w:szCs w:val="28"/>
        </w:rPr>
      </w:pPr>
    </w:p>
    <w:p w14:paraId="4E8711A5">
      <w:pPr>
        <w:snapToGrid w:val="0"/>
        <w:spacing w:line="460" w:lineRule="exact"/>
        <w:jc w:val="center"/>
        <w:rPr>
          <w:rFonts w:ascii="仿宋_GB2312" w:hAnsi="仿宋" w:eastAsia="仿宋_GB2312"/>
          <w:bCs/>
          <w:color w:val="000000"/>
          <w:sz w:val="28"/>
          <w:szCs w:val="28"/>
        </w:rPr>
      </w:pPr>
      <w:r>
        <w:rPr>
          <w:rFonts w:hint="eastAsia" w:ascii="仿宋_GB2312" w:hAnsi="宋体" w:eastAsia="仿宋_GB2312"/>
          <w:b/>
          <w:color w:val="000000"/>
          <w:sz w:val="28"/>
          <w:szCs w:val="28"/>
        </w:rPr>
        <w:t>条  款 5    大修与调试</w:t>
      </w:r>
    </w:p>
    <w:p w14:paraId="2EBCD0F7">
      <w:pPr>
        <w:snapToGrid w:val="0"/>
        <w:spacing w:line="460" w:lineRule="exact"/>
        <w:ind w:firstLine="688" w:firstLineChars="246"/>
        <w:rPr>
          <w:rFonts w:ascii="仿宋_GB2312" w:hAnsi="仿宋" w:eastAsia="仿宋_GB2312"/>
          <w:bCs/>
          <w:color w:val="000000"/>
          <w:sz w:val="28"/>
          <w:szCs w:val="28"/>
        </w:rPr>
      </w:pPr>
      <w:r>
        <w:rPr>
          <w:rFonts w:hint="eastAsia" w:ascii="仿宋_GB2312" w:hAnsi="仿宋" w:eastAsia="仿宋_GB2312"/>
          <w:bCs/>
          <w:color w:val="000000"/>
          <w:sz w:val="28"/>
          <w:szCs w:val="28"/>
        </w:rPr>
        <w:t>1、乙方应指派力量充足技术熟练的技术人员到甲方现场负责对本合同的项目进行维修保养，并负责调试和对甲方人员进行操作及维修的技术培训。</w:t>
      </w:r>
    </w:p>
    <w:p w14:paraId="1CA96E65">
      <w:pPr>
        <w:snapToGrid w:val="0"/>
        <w:spacing w:line="460" w:lineRule="exact"/>
        <w:ind w:firstLine="688" w:firstLineChars="246"/>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w:t>
      </w:r>
      <w:r>
        <w:rPr>
          <w:rFonts w:hint="eastAsia" w:ascii="仿宋_GB2312" w:hAnsi="仿宋" w:eastAsia="仿宋_GB2312"/>
          <w:bCs/>
          <w:color w:val="000000"/>
          <w:spacing w:val="-20"/>
          <w:sz w:val="28"/>
          <w:szCs w:val="28"/>
        </w:rPr>
        <w:t>在大修过程中甲方应积极配合并提供一切有利于工程进度的方便。</w:t>
      </w:r>
    </w:p>
    <w:p w14:paraId="2AFCEA4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6   技术要求</w:t>
      </w:r>
    </w:p>
    <w:p w14:paraId="43B4EB4E">
      <w:pPr>
        <w:snapToGrid w:val="0"/>
        <w:spacing w:line="46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按照合同所附技术协议书执行（附后）。</w:t>
      </w:r>
    </w:p>
    <w:p w14:paraId="0EB3E1AF">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7   质量保证</w:t>
      </w:r>
    </w:p>
    <w:p w14:paraId="25E5C1F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乙方应保证其提供的大修及检测采用的是技术协议中规定的最佳材料和第一流的工艺，并在各个方面符合技术协议的质量、规格和性能要求。乙方应保证设备经过正确维护保养，在质量保证期内运转良好。在规定的质量保证期内，乙方应对由于大修服务设计、工艺技术和技术协议包含备件的缺陷而造成的任何缺陷或故障负责。出现上述情况，乙方应在收到甲方通知后3天内，免费负责修理或更换有缺陷的零部件或整机，并承担产生的所有费用，并赔偿因此给甲方造成的损失。如果在大修阶段由于乙方技术人员指导失误或乙方所供技术资料、图纸、名称、规格型号的错误、设备出现缺陷或损坏等事宜，乙方应免费负责修理或更换有缺陷的零部件或整机，乙方承担修补或更换部件及装运的全部费用，质保期相应的顺延。质保期外，大修项目出现质量问题，若确系设计、技术协议包含备件原因造成的，乙方应在24小时内免费处理，所需费用由乙方负担。</w:t>
      </w:r>
    </w:p>
    <w:p w14:paraId="7A4E7D2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2、合同项下大修及检测的质量保证期为自</w:t>
      </w:r>
      <w:r>
        <w:rPr>
          <w:rFonts w:hint="eastAsia" w:ascii="仿宋_GB2312" w:hAnsi="宋体" w:eastAsia="仿宋_GB2312"/>
          <w:sz w:val="28"/>
          <w:szCs w:val="28"/>
        </w:rPr>
        <w:t>首保合格出具验收合格证明之日起</w:t>
      </w:r>
      <w:r>
        <w:rPr>
          <w:rFonts w:hint="eastAsia" w:ascii="仿宋_GB2312" w:hAnsi="宋体" w:eastAsia="仿宋_GB2312"/>
          <w:bCs/>
          <w:sz w:val="28"/>
          <w:szCs w:val="28"/>
        </w:rPr>
        <w:t>12个月，乙方质保责任包含但不限于首保，应对合同期内及质保期内所有大修服务承担责任。</w:t>
      </w:r>
    </w:p>
    <w:p w14:paraId="30239D34">
      <w:pPr>
        <w:snapToGrid w:val="0"/>
        <w:spacing w:line="460" w:lineRule="exact"/>
        <w:ind w:firstLine="532" w:firstLineChars="190"/>
        <w:rPr>
          <w:rFonts w:ascii="仿宋_GB2312" w:hAnsi="宋体" w:eastAsia="仿宋_GB2312"/>
          <w:bCs/>
          <w:color w:val="000000"/>
          <w:sz w:val="28"/>
          <w:szCs w:val="28"/>
        </w:rPr>
      </w:pPr>
      <w:r>
        <w:rPr>
          <w:rFonts w:hint="eastAsia" w:ascii="仿宋_GB2312" w:hAnsi="宋体" w:eastAsia="仿宋_GB2312"/>
          <w:bCs/>
          <w:color w:val="000000"/>
          <w:sz w:val="28"/>
          <w:szCs w:val="28"/>
        </w:rPr>
        <w:t>3、乙方大修及检测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设备仍无法达到技术规范要求，双方协商，甲方有权自行处理并不承担任何责任，同时乙方应退还甲方付给乙方的所有款项，且赔偿由此给甲方造成的所有损失，并向甲方支付合同总额20%的违约金。若经协商甲方同意接受，每一项与技术附件</w:t>
      </w:r>
      <w:r>
        <w:rPr>
          <w:rFonts w:hint="eastAsia" w:ascii="仿宋_GB2312" w:hAnsi="宋体" w:eastAsia="仿宋_GB2312"/>
          <w:bCs/>
          <w:color w:val="000000"/>
          <w:spacing w:val="-20"/>
          <w:sz w:val="28"/>
          <w:szCs w:val="28"/>
        </w:rPr>
        <w:t>中指标要求不符的内容，由乙方向甲方支付合同总额的0.5%作为违约金。</w:t>
      </w:r>
    </w:p>
    <w:p w14:paraId="6152A689">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应保证大修服务不会引起任何第三方提出的侵权赔偿，如果出现第三方针对甲方使用乙方按照本合同提供的合同设备和技术文件的侵权诉讼，乙方应有独立的权利和责任自费辩护和解决这些问题，甲方不承担任何法律和经济责任。甲方应向乙方提供诉讼方面的必要信息。如给甲方造成损失，乙方应全额赔偿甲方的损失。</w:t>
      </w:r>
    </w:p>
    <w:p w14:paraId="3ACBBD05">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w:t>
      </w:r>
      <w:r>
        <w:rPr>
          <w:rFonts w:hint="eastAsia" w:ascii="仿宋_GB2312" w:eastAsia="仿宋_GB2312"/>
          <w:bCs/>
          <w:sz w:val="28"/>
          <w:szCs w:val="28"/>
        </w:rPr>
        <w:t>乙方保证大修符合本合同《技术协议》的规定。</w:t>
      </w:r>
    </w:p>
    <w:p w14:paraId="351F4E32">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6、乙方应保证所提供的技术资料必须是及时的、完整的、正确的，且能满足大修的调试、操作要求。</w:t>
      </w:r>
    </w:p>
    <w:p w14:paraId="0D07A4CA">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7、乙方保证协议中所规定的包含的备件，未经甲方书面同意，不得更改。选购的元器件应符合现行通用标准。</w:t>
      </w:r>
    </w:p>
    <w:p w14:paraId="79499DF0">
      <w:pPr>
        <w:snapToGrid w:val="0"/>
        <w:spacing w:line="100" w:lineRule="exact"/>
        <w:rPr>
          <w:rFonts w:ascii="仿宋_GB2312" w:hAnsi="宋体" w:eastAsia="仿宋_GB2312"/>
          <w:sz w:val="28"/>
          <w:szCs w:val="28"/>
        </w:rPr>
      </w:pPr>
    </w:p>
    <w:p w14:paraId="183D081C">
      <w:pPr>
        <w:tabs>
          <w:tab w:val="left" w:pos="540"/>
        </w:tabs>
        <w:snapToGrid w:val="0"/>
        <w:spacing w:line="460" w:lineRule="exact"/>
        <w:ind w:firstLine="2786"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8   索  赔</w:t>
      </w:r>
    </w:p>
    <w:p w14:paraId="786CE0D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如果由于乙方责任，甲方提出索赔应及时通知乙方，乙方若有异议，在收到索赔通知单14天内提出复议，双方就此再次谈判。如果乙方在收到索赔通知后30天内未能予以答复，该索赔应视为已被乙方接受。若乙方未能在收到索赔通知后30天内或甲方同意的更长一些的时间内，按甲方同意的处理方式处理索赔事宜，甲方将从未付款中扣回索赔金额，同时保留进一步要求赔偿的权利。</w:t>
      </w:r>
    </w:p>
    <w:p w14:paraId="03FA09E0">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2、如属甲方使用不当造成损坏，乙方也有义务予以处理，备件费用由甲方承担。</w:t>
      </w:r>
    </w:p>
    <w:p w14:paraId="2A59765F">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3、因乙方大修问题造成事故的，所有责任由乙方承担，给甲方造成损失的，乙方应当赔偿。。</w:t>
      </w:r>
    </w:p>
    <w:p w14:paraId="451EE37E">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4D0A2F7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5、乙方向甲方开具</w:t>
      </w:r>
      <w:r>
        <w:rPr>
          <w:rFonts w:ascii="仿宋_GB2312" w:hAnsi="宋体" w:eastAsia="仿宋_GB2312"/>
          <w:bCs/>
          <w:sz w:val="28"/>
          <w:szCs w:val="28"/>
        </w:rPr>
        <w:t>**</w:t>
      </w:r>
      <w:r>
        <w:rPr>
          <w:rFonts w:hint="eastAsia" w:ascii="仿宋_GB2312" w:hAnsi="宋体" w:eastAsia="仿宋_GB2312"/>
          <w:bCs/>
          <w:sz w:val="28"/>
          <w:szCs w:val="28"/>
        </w:rPr>
        <w:t>%的增值税发票，若出现税务部门不认可的情况，乙方应在接到甲方通知之日起7个工作日内予以更换，否则须向甲方支付合同总价20%的违约金，违约金可直接从未付款中扣除。</w:t>
      </w:r>
    </w:p>
    <w:p w14:paraId="1ACBC82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6、如果乙方未能按甲方通知的时间进行大修（不可抗力除外），在乙方同意支付核定损失额的条件下，甲方将同意延长交货期。核定损失额的支付将从未付款项中扣除。核定损失额比率为每逾期1天，按设备大修费用的0.5%计算，不满1天按1天计算，但是，核定损失额的支付不得超过迟交货物金额的10%。如果卖方在达到核定损失额的最高限额后仍不能大修，买方有权因乙方违约终止合同，而乙方仍有义务支付上述迟交核定损失金额。</w:t>
      </w:r>
    </w:p>
    <w:p w14:paraId="16C9D3BD">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2、若乙方延迟大修对买方造成严重影响，或因乙方的延迟导致甲方不需乙方大修，买方有权视具体情况解除部分或全部合同，卖方应向买</w:t>
      </w:r>
      <w:r>
        <w:rPr>
          <w:rFonts w:hint="eastAsia" w:ascii="仿宋_GB2312" w:hAnsi="宋体" w:eastAsia="仿宋_GB2312"/>
          <w:bCs/>
          <w:spacing w:val="-20"/>
          <w:sz w:val="28"/>
          <w:szCs w:val="28"/>
        </w:rPr>
        <w:t>方支付合同总金额10%的延迟大修违约金，并赔偿由此给甲方造成的损失</w:t>
      </w:r>
      <w:r>
        <w:rPr>
          <w:rFonts w:hint="eastAsia" w:ascii="仿宋_GB2312" w:hAnsi="宋体" w:eastAsia="仿宋_GB2312"/>
          <w:bCs/>
          <w:sz w:val="28"/>
          <w:szCs w:val="28"/>
        </w:rPr>
        <w:t>。</w:t>
      </w:r>
    </w:p>
    <w:p w14:paraId="57CCB826">
      <w:pPr>
        <w:snapToGrid w:val="0"/>
        <w:spacing w:line="100" w:lineRule="exact"/>
        <w:ind w:left="-2" w:leftChars="-1" w:firstLine="560" w:firstLineChars="200"/>
        <w:rPr>
          <w:rFonts w:ascii="仿宋_GB2312" w:hAnsi="宋体" w:eastAsia="仿宋_GB2312"/>
          <w:bCs/>
          <w:sz w:val="28"/>
          <w:szCs w:val="28"/>
        </w:rPr>
      </w:pPr>
    </w:p>
    <w:p w14:paraId="63C17660">
      <w:pPr>
        <w:tabs>
          <w:tab w:val="left" w:pos="540"/>
        </w:tabs>
        <w:snapToGrid w:val="0"/>
        <w:spacing w:line="460" w:lineRule="exact"/>
        <w:ind w:firstLine="2786"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9   不可抗力</w:t>
      </w:r>
    </w:p>
    <w:p w14:paraId="0FE72249">
      <w:pPr>
        <w:snapToGrid w:val="0"/>
        <w:spacing w:line="460" w:lineRule="exact"/>
        <w:ind w:firstLine="560" w:firstLineChars="200"/>
        <w:rPr>
          <w:rFonts w:ascii="仿宋_GB2312" w:hAnsi="宋体" w:eastAsia="仿宋_GB2312"/>
          <w:bCs/>
          <w:spacing w:val="-20"/>
          <w:sz w:val="28"/>
          <w:szCs w:val="28"/>
        </w:rPr>
      </w:pPr>
      <w:r>
        <w:rPr>
          <w:rFonts w:hint="eastAsia" w:ascii="仿宋_GB2312" w:hAnsi="宋体" w:eastAsia="仿宋_GB2312"/>
          <w:bCs/>
          <w:sz w:val="28"/>
          <w:szCs w:val="28"/>
        </w:rPr>
        <w:t>1、签约双方任一方由于受不可抗力事件的影响而不能执行合同时，履行合同的期限应予以延长，其延长的期限应相当于事件所影响的时间。不可抗力事件系指甲乙双方在执行本合同中任何一方</w:t>
      </w:r>
      <w:r>
        <w:rPr>
          <w:rFonts w:hint="eastAsia" w:ascii="仿宋_GB2312" w:hAnsi="宋体" w:eastAsia="仿宋_GB2312"/>
          <w:bCs/>
          <w:spacing w:val="-20"/>
          <w:sz w:val="28"/>
          <w:szCs w:val="28"/>
        </w:rPr>
        <w:t>不能控制和不能预见的，诸如战争、严重火灾、洪水、台风、地震等。</w:t>
      </w:r>
    </w:p>
    <w:p w14:paraId="311B031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4526883">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10   合同争议解决的方式</w:t>
      </w:r>
    </w:p>
    <w:p w14:paraId="18805DA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1、凡与本合同有关而引起的一切争议，双方应首先通过友好协商解决，如经协商后仍不能达成协议时，双方选择向合同签订地人民法院提出诉讼解决争议。</w:t>
      </w:r>
    </w:p>
    <w:p w14:paraId="0F95B77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2、由上述过程发生的费用除法院判决另有规定外，应由败诉方承担。</w:t>
      </w:r>
    </w:p>
    <w:p w14:paraId="7DAB59D7">
      <w:pPr>
        <w:snapToGrid w:val="0"/>
        <w:spacing w:line="460" w:lineRule="exact"/>
        <w:ind w:firstLine="504" w:firstLineChars="180"/>
        <w:rPr>
          <w:rFonts w:ascii="仿宋_GB2312" w:hAnsi="仿宋" w:eastAsia="仿宋_GB2312"/>
          <w:bCs/>
          <w:color w:val="000000"/>
          <w:sz w:val="28"/>
          <w:szCs w:val="28"/>
        </w:rPr>
      </w:pPr>
      <w:r>
        <w:rPr>
          <w:rFonts w:hint="eastAsia" w:ascii="仿宋_GB2312" w:hAnsi="仿宋" w:eastAsia="仿宋_GB2312"/>
          <w:bCs/>
          <w:color w:val="000000"/>
          <w:sz w:val="28"/>
          <w:szCs w:val="28"/>
        </w:rPr>
        <w:t>3、在进行法院审理期间，除法院审理的部分外，合同其他部分仍应继续履行。</w:t>
      </w:r>
    </w:p>
    <w:p w14:paraId="31A28D9C">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11   适用法律</w:t>
      </w:r>
    </w:p>
    <w:p w14:paraId="441F60EE">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本合同应按中华人民共和国《民法典》及相关法律解释。</w:t>
      </w:r>
    </w:p>
    <w:p w14:paraId="02D65A57">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12    通知</w:t>
      </w:r>
    </w:p>
    <w:p w14:paraId="745460D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合同任何一方给另一方的通知都应以书面的形式发送，而另一方应以书面形式确认并发送到对方明确的地址。</w:t>
      </w:r>
    </w:p>
    <w:p w14:paraId="641422E0">
      <w:pPr>
        <w:snapToGrid w:val="0"/>
        <w:spacing w:line="100" w:lineRule="exact"/>
        <w:rPr>
          <w:rFonts w:ascii="仿宋_GB2312" w:hAnsi="宋体" w:eastAsia="仿宋_GB2312"/>
          <w:b/>
          <w:color w:val="000000"/>
          <w:sz w:val="28"/>
          <w:szCs w:val="28"/>
        </w:rPr>
      </w:pPr>
    </w:p>
    <w:p w14:paraId="738AC536">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13   合同生效</w:t>
      </w:r>
    </w:p>
    <w:p w14:paraId="2DBCA0A7">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1、本合同自双方签字盖章之日起生效，至双方履行完各自义务索赔完毕时终止。</w:t>
      </w:r>
    </w:p>
    <w:p w14:paraId="386C0035">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2、本合同一式八份，甲方执六份，乙方执二份。</w:t>
      </w:r>
    </w:p>
    <w:p w14:paraId="2250CD6B">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14    其它约定事项</w:t>
      </w:r>
    </w:p>
    <w:p w14:paraId="10E5456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1、合同所附技术协议书，与本合同具有同等法律效力。</w:t>
      </w:r>
    </w:p>
    <w:p w14:paraId="46A38D54">
      <w:pPr>
        <w:snapToGrid w:val="0"/>
        <w:spacing w:line="460" w:lineRule="exact"/>
        <w:ind w:firstLine="560" w:firstLineChars="200"/>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2、未</w:t>
      </w:r>
      <w:r>
        <w:rPr>
          <w:rFonts w:hint="eastAsia" w:ascii="仿宋_GB2312" w:hAnsi="仿宋" w:eastAsia="仿宋_GB2312"/>
          <w:bCs/>
          <w:color w:val="000000"/>
          <w:spacing w:val="-20"/>
          <w:sz w:val="28"/>
          <w:szCs w:val="28"/>
        </w:rPr>
        <w:t>经甲方书面同意，乙方不得将本合同权利义务转让给第三方。</w:t>
      </w:r>
    </w:p>
    <w:p w14:paraId="0B71A95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3、乙方大修、安装、调试人员应遵守甲方现场的各项规章制度并作好自我的安全防护措施，若由于自身原因造成不安全事件发生，一切责任由乙方承担。</w:t>
      </w:r>
    </w:p>
    <w:p w14:paraId="227AD9B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4、如果乙方破产或无清偿能力时，甲方可在任何时候以书面通知乙方终止合同。该终止合同将不损害或影响甲方已经采取或将要采取的补救措施的权利。</w:t>
      </w:r>
    </w:p>
    <w:p w14:paraId="5DFFB452">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5、在合同执行过程中,若出现商务合同与技术协议有冲突的情况,以本合同为执行标准.本合同未涉及的部分,以技术协议为执行标准。</w:t>
      </w:r>
    </w:p>
    <w:p w14:paraId="35B5A261">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6、乙方负责大修调试至满足技术协议及甲方使用要求。</w:t>
      </w:r>
    </w:p>
    <w:p w14:paraId="14232EFE">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7、未尽事宜，双方可签订补充协议。 </w:t>
      </w:r>
    </w:p>
    <w:p w14:paraId="4E05EAC5">
      <w:pPr>
        <w:snapToGrid w:val="0"/>
        <w:spacing w:line="460" w:lineRule="exact"/>
        <w:ind w:firstLine="420" w:firstLineChars="150"/>
        <w:rPr>
          <w:rFonts w:ascii="仿宋_GB2312" w:hAnsi="仿宋" w:eastAsia="仿宋_GB2312"/>
          <w:b/>
          <w:sz w:val="28"/>
          <w:szCs w:val="28"/>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5175"/>
      </w:tblGrid>
      <w:tr w14:paraId="1F1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4487" w:type="dxa"/>
          </w:tcPr>
          <w:p w14:paraId="24CE924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甲方：*</w:t>
            </w:r>
            <w:r>
              <w:rPr>
                <w:rFonts w:ascii="仿宋" w:hAnsi="仿宋" w:eastAsia="仿宋" w:cs="仿宋"/>
                <w:bCs/>
                <w:sz w:val="28"/>
                <w:szCs w:val="28"/>
              </w:rPr>
              <w:t>************</w:t>
            </w:r>
            <w:r>
              <w:rPr>
                <w:rFonts w:hint="eastAsia" w:ascii="仿宋" w:hAnsi="仿宋" w:eastAsia="仿宋" w:cs="仿宋"/>
                <w:bCs/>
                <w:sz w:val="28"/>
                <w:szCs w:val="28"/>
              </w:rPr>
              <w:t>公司</w:t>
            </w:r>
          </w:p>
          <w:p w14:paraId="23CD8222">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地址：新安产业集聚区</w:t>
            </w:r>
          </w:p>
          <w:p w14:paraId="1E0626E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p>
          <w:p w14:paraId="6D0E0EA7">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开户行： </w:t>
            </w:r>
          </w:p>
          <w:p w14:paraId="4F550E1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账号：</w:t>
            </w:r>
          </w:p>
          <w:p w14:paraId="0D0B225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税号： </w:t>
            </w:r>
          </w:p>
          <w:p w14:paraId="7F301E3E">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c>
          <w:tcPr>
            <w:tcW w:w="5175" w:type="dxa"/>
          </w:tcPr>
          <w:p w14:paraId="74051FCA">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乙方：*</w:t>
            </w:r>
            <w:r>
              <w:rPr>
                <w:rFonts w:ascii="仿宋" w:hAnsi="仿宋" w:eastAsia="仿宋" w:cs="仿宋"/>
                <w:bCs/>
                <w:sz w:val="28"/>
                <w:szCs w:val="28"/>
              </w:rPr>
              <w:t>*********</w:t>
            </w:r>
            <w:r>
              <w:rPr>
                <w:rFonts w:hint="eastAsia" w:ascii="仿宋" w:hAnsi="仿宋" w:eastAsia="仿宋" w:cs="仿宋"/>
                <w:bCs/>
                <w:sz w:val="28"/>
                <w:szCs w:val="28"/>
              </w:rPr>
              <w:t xml:space="preserve">备有限公司      </w:t>
            </w:r>
          </w:p>
          <w:p w14:paraId="03A17E8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w:t>
            </w:r>
            <w:r>
              <w:rPr>
                <w:rFonts w:ascii="仿宋" w:hAnsi="仿宋" w:eastAsia="仿宋" w:cs="仿宋"/>
                <w:bCs/>
                <w:sz w:val="28"/>
                <w:szCs w:val="28"/>
              </w:rPr>
              <w:t>**********</w:t>
            </w:r>
          </w:p>
          <w:p w14:paraId="6580859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r>
              <w:rPr>
                <w:rFonts w:ascii="仿宋" w:hAnsi="仿宋" w:eastAsia="仿宋" w:cs="仿宋"/>
                <w:bCs/>
                <w:sz w:val="28"/>
                <w:szCs w:val="28"/>
              </w:rPr>
              <w:t>*****</w:t>
            </w:r>
            <w:r>
              <w:rPr>
                <w:rFonts w:hint="eastAsia" w:ascii="仿宋" w:hAnsi="仿宋" w:eastAsia="仿宋" w:cs="仿宋"/>
                <w:bCs/>
                <w:sz w:val="28"/>
                <w:szCs w:val="28"/>
              </w:rPr>
              <w:t xml:space="preserve">             </w:t>
            </w:r>
          </w:p>
          <w:p w14:paraId="0E90FB2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开户行：</w:t>
            </w:r>
          </w:p>
          <w:p w14:paraId="6B00853F">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帐号：</w:t>
            </w:r>
          </w:p>
          <w:p w14:paraId="0E04BFEB">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税号：</w:t>
            </w:r>
          </w:p>
          <w:p w14:paraId="674361ED">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r>
    </w:tbl>
    <w:p w14:paraId="5DC3BBF3">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59"/>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152C6FF3">
      <w:pPr>
        <w:spacing w:line="460" w:lineRule="exact"/>
        <w:rPr>
          <w:rFonts w:hint="eastAsia"/>
          <w:lang w:val="en-US" w:eastAsia="zh-CN"/>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bookmarkStart w:id="0" w:name="_Toc472454500"/>
      <w:bookmarkStart w:id="1" w:name="_Toc468785718"/>
    </w:p>
    <w:bookmarkEnd w:id="0"/>
    <w:bookmarkEnd w:id="1"/>
    <w:p w14:paraId="167B73D1">
      <w:pPr>
        <w:spacing w:line="360" w:lineRule="auto"/>
        <w:jc w:val="both"/>
        <w:rPr>
          <w:rFonts w:hint="eastAsia" w:ascii="Arial" w:hAnsi="Arial" w:cs="Arial"/>
          <w:b/>
          <w:sz w:val="28"/>
        </w:rPr>
      </w:pPr>
      <w:bookmarkStart w:id="2" w:name="_Toc35655814"/>
    </w:p>
    <w:p w14:paraId="516DC50C">
      <w:pPr>
        <w:autoSpaceDE w:val="0"/>
        <w:autoSpaceDN w:val="0"/>
        <w:adjustRightInd w:val="0"/>
        <w:spacing w:line="360" w:lineRule="auto"/>
        <w:jc w:val="center"/>
        <w:rPr>
          <w:rFonts w:hint="eastAsia" w:ascii="宋体" w:cs="宋体"/>
          <w:b/>
          <w:kern w:val="0"/>
          <w:sz w:val="44"/>
          <w:szCs w:val="44"/>
        </w:rPr>
      </w:pPr>
    </w:p>
    <w:p w14:paraId="242EA332">
      <w:pPr>
        <w:autoSpaceDE w:val="0"/>
        <w:autoSpaceDN w:val="0"/>
        <w:adjustRightInd w:val="0"/>
        <w:spacing w:line="360" w:lineRule="auto"/>
        <w:jc w:val="center"/>
        <w:rPr>
          <w:rFonts w:hint="eastAsia" w:ascii="宋体" w:cs="宋体"/>
          <w:b/>
          <w:kern w:val="0"/>
          <w:sz w:val="44"/>
          <w:szCs w:val="44"/>
        </w:rPr>
      </w:pPr>
    </w:p>
    <w:p w14:paraId="615AD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000000"/>
          <w:sz w:val="36"/>
          <w:szCs w:val="36"/>
          <w:highlight w:val="none"/>
          <w:lang w:eastAsia="zh-CN"/>
        </w:rPr>
      </w:pPr>
      <w:r>
        <w:rPr>
          <w:rFonts w:hint="eastAsia" w:ascii="仿宋" w:hAnsi="仿宋" w:eastAsia="仿宋" w:cs="仿宋"/>
          <w:b/>
          <w:color w:val="000000"/>
          <w:sz w:val="36"/>
          <w:szCs w:val="36"/>
          <w:highlight w:val="none"/>
          <w:lang w:eastAsia="zh-CN"/>
        </w:rPr>
        <w:t>洛阳万基宏远电力有限公司</w:t>
      </w:r>
    </w:p>
    <w:p w14:paraId="29A03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6"/>
          <w:szCs w:val="36"/>
          <w:highlight w:val="none"/>
          <w:lang w:eastAsia="zh-CN"/>
        </w:rPr>
      </w:pPr>
      <w:r>
        <w:rPr>
          <w:rFonts w:hint="eastAsia" w:ascii="仿宋" w:hAnsi="仿宋" w:eastAsia="仿宋" w:cs="仿宋"/>
          <w:b/>
          <w:color w:val="000000"/>
          <w:sz w:val="36"/>
          <w:szCs w:val="36"/>
          <w:highlight w:val="none"/>
          <w:lang w:val="en-US" w:eastAsia="zh-CN"/>
        </w:rPr>
        <w:t>#2</w:t>
      </w:r>
      <w:r>
        <w:rPr>
          <w:rFonts w:hint="eastAsia" w:ascii="仿宋" w:hAnsi="仿宋" w:eastAsia="仿宋" w:cs="仿宋"/>
          <w:b/>
          <w:color w:val="000000"/>
          <w:sz w:val="36"/>
          <w:szCs w:val="36"/>
          <w:highlight w:val="none"/>
          <w:lang w:eastAsia="zh-CN"/>
        </w:rPr>
        <w:t>机组</w:t>
      </w:r>
      <w:r>
        <w:rPr>
          <w:rFonts w:hint="eastAsia" w:ascii="仿宋" w:hAnsi="仿宋" w:eastAsia="仿宋" w:cs="仿宋"/>
          <w:b/>
          <w:color w:val="000000"/>
          <w:sz w:val="36"/>
          <w:szCs w:val="36"/>
          <w:highlight w:val="none"/>
          <w:lang w:val="en-US" w:eastAsia="zh-CN"/>
        </w:rPr>
        <w:t>循环水泵变频改造项目</w:t>
      </w:r>
    </w:p>
    <w:p w14:paraId="54B68176">
      <w:pPr>
        <w:spacing w:line="360" w:lineRule="auto"/>
        <w:jc w:val="center"/>
        <w:rPr>
          <w:rFonts w:hint="eastAsia" w:ascii="Arial" w:hAnsi="Arial" w:eastAsia="黑体" w:cs="Arial"/>
          <w:sz w:val="36"/>
          <w:szCs w:val="36"/>
        </w:rPr>
      </w:pPr>
    </w:p>
    <w:p w14:paraId="0276C08D">
      <w:pPr>
        <w:spacing w:line="360" w:lineRule="auto"/>
        <w:jc w:val="center"/>
        <w:rPr>
          <w:rFonts w:ascii="Arial" w:hAnsi="Arial" w:eastAsia="黑体" w:cs="Arial"/>
          <w:sz w:val="36"/>
          <w:szCs w:val="36"/>
        </w:rPr>
      </w:pPr>
    </w:p>
    <w:p w14:paraId="31FC764D">
      <w:pPr>
        <w:spacing w:after="480" w:line="480" w:lineRule="exact"/>
        <w:ind w:firstLine="360" w:firstLineChars="100"/>
        <w:jc w:val="center"/>
        <w:rPr>
          <w:rFonts w:hint="eastAsia" w:ascii="仿宋" w:hAnsi="仿宋" w:eastAsia="仿宋" w:cs="仿宋"/>
          <w:sz w:val="36"/>
          <w:szCs w:val="36"/>
          <w:lang w:val="en-US" w:eastAsia="zh-CN"/>
        </w:rPr>
      </w:pPr>
      <w:r>
        <w:rPr>
          <w:rFonts w:hint="eastAsia" w:ascii="仿宋" w:hAnsi="仿宋" w:eastAsia="仿宋" w:cs="仿宋"/>
          <w:b/>
          <w:color w:val="000000"/>
          <w:sz w:val="36"/>
          <w:szCs w:val="36"/>
          <w:lang w:eastAsia="zh-CN"/>
        </w:rPr>
        <w:t>招标</w:t>
      </w:r>
      <w:r>
        <w:rPr>
          <w:rFonts w:hint="eastAsia" w:ascii="仿宋" w:hAnsi="仿宋" w:eastAsia="仿宋" w:cs="仿宋"/>
          <w:b/>
          <w:color w:val="000000"/>
          <w:sz w:val="36"/>
          <w:szCs w:val="36"/>
          <w:lang w:val="en-US" w:eastAsia="zh-CN"/>
        </w:rPr>
        <w:t>技术规范书</w:t>
      </w:r>
    </w:p>
    <w:p w14:paraId="07F53EBC">
      <w:pPr>
        <w:spacing w:line="360" w:lineRule="auto"/>
        <w:jc w:val="center"/>
        <w:rPr>
          <w:rFonts w:ascii="Arial" w:hAnsi="Arial" w:eastAsia="黑体" w:cs="Arial"/>
          <w:sz w:val="36"/>
        </w:rPr>
      </w:pPr>
    </w:p>
    <w:p w14:paraId="50A02C8F">
      <w:pPr>
        <w:tabs>
          <w:tab w:val="left" w:pos="5130"/>
        </w:tabs>
        <w:spacing w:line="360" w:lineRule="auto"/>
        <w:jc w:val="left"/>
        <w:rPr>
          <w:rFonts w:ascii="Arial" w:hAnsi="Arial" w:eastAsia="黑体" w:cs="Arial"/>
          <w:sz w:val="36"/>
        </w:rPr>
      </w:pPr>
    </w:p>
    <w:p w14:paraId="6A7C8260">
      <w:pPr>
        <w:tabs>
          <w:tab w:val="left" w:pos="4410"/>
        </w:tabs>
        <w:spacing w:line="360" w:lineRule="auto"/>
        <w:jc w:val="left"/>
        <w:rPr>
          <w:rFonts w:hint="eastAsia" w:ascii="Arial" w:hAnsi="Arial" w:eastAsia="黑体" w:cs="Arial"/>
          <w:sz w:val="36"/>
        </w:rPr>
      </w:pPr>
    </w:p>
    <w:p w14:paraId="06C2E6B5">
      <w:pPr>
        <w:tabs>
          <w:tab w:val="left" w:pos="4410"/>
        </w:tabs>
        <w:spacing w:line="360" w:lineRule="auto"/>
        <w:jc w:val="left"/>
        <w:rPr>
          <w:rFonts w:hint="eastAsia" w:ascii="Arial" w:hAnsi="Arial" w:eastAsia="黑体" w:cs="Arial"/>
          <w:sz w:val="36"/>
        </w:rPr>
      </w:pPr>
    </w:p>
    <w:p w14:paraId="5F21CEB4">
      <w:pPr>
        <w:tabs>
          <w:tab w:val="left" w:pos="5130"/>
        </w:tabs>
        <w:spacing w:line="360" w:lineRule="auto"/>
        <w:jc w:val="left"/>
        <w:rPr>
          <w:rFonts w:hint="eastAsia" w:ascii="Arial" w:hAnsi="Arial" w:eastAsia="黑体" w:cs="Arial"/>
          <w:sz w:val="36"/>
        </w:rPr>
      </w:pPr>
    </w:p>
    <w:p w14:paraId="5038631D">
      <w:pPr>
        <w:spacing w:after="480" w:line="480" w:lineRule="exact"/>
        <w:ind w:firstLine="300" w:firstLineChars="100"/>
        <w:jc w:val="center"/>
        <w:rPr>
          <w:rFonts w:hint="eastAsia" w:ascii="仿宋" w:hAnsi="仿宋" w:eastAsia="仿宋" w:cs="仿宋"/>
          <w:b/>
          <w:color w:val="000000"/>
          <w:sz w:val="36"/>
          <w:szCs w:val="36"/>
          <w:lang w:eastAsia="zh-CN"/>
        </w:rPr>
      </w:pPr>
      <w:r>
        <w:rPr>
          <w:rFonts w:hint="eastAsia" w:ascii="仿宋" w:hAnsi="仿宋" w:eastAsia="仿宋" w:cs="仿宋"/>
          <w:b/>
          <w:bCs/>
          <w:sz w:val="30"/>
          <w:szCs w:val="30"/>
          <w:lang w:eastAsia="zh-CN"/>
        </w:rPr>
        <w:t>招   标   人：洛阳万基宏远电力有限公司</w:t>
      </w:r>
      <w:r>
        <w:rPr>
          <w:rFonts w:hint="eastAsia" w:ascii="仿宋" w:hAnsi="仿宋" w:eastAsia="仿宋" w:cs="仿宋"/>
          <w:b/>
          <w:color w:val="000000"/>
          <w:sz w:val="36"/>
          <w:szCs w:val="36"/>
          <w:lang w:eastAsia="zh-CN"/>
        </w:rPr>
        <w:t xml:space="preserve">             </w:t>
      </w:r>
    </w:p>
    <w:p w14:paraId="57B6CF34">
      <w:pPr>
        <w:spacing w:after="480" w:line="480" w:lineRule="exact"/>
        <w:ind w:firstLine="360" w:firstLineChars="100"/>
        <w:jc w:val="center"/>
        <w:rPr>
          <w:rFonts w:hint="eastAsia" w:ascii="仿宋" w:hAnsi="仿宋" w:eastAsia="仿宋" w:cs="仿宋"/>
          <w:b/>
          <w:color w:val="000000"/>
          <w:sz w:val="36"/>
          <w:szCs w:val="36"/>
          <w:lang w:eastAsia="zh-CN"/>
        </w:rPr>
      </w:pPr>
    </w:p>
    <w:p w14:paraId="70541979">
      <w:pPr>
        <w:spacing w:after="480" w:line="480" w:lineRule="exact"/>
        <w:ind w:firstLine="300" w:firstLineChars="100"/>
        <w:jc w:val="center"/>
        <w:rPr>
          <w:rFonts w:hint="default" w:ascii="仿宋" w:hAnsi="仿宋" w:eastAsia="仿宋" w:cs="仿宋"/>
          <w:b/>
          <w:color w:val="000000"/>
          <w:sz w:val="30"/>
          <w:szCs w:val="30"/>
          <w:lang w:val="en-US" w:eastAsia="zh-CN"/>
        </w:rPr>
      </w:pPr>
      <w:r>
        <w:rPr>
          <w:rFonts w:hint="eastAsia" w:ascii="仿宋" w:hAnsi="仿宋" w:eastAsia="仿宋" w:cs="仿宋"/>
          <w:b/>
          <w:color w:val="000000"/>
          <w:sz w:val="30"/>
          <w:szCs w:val="30"/>
          <w:lang w:eastAsia="zh-CN"/>
        </w:rPr>
        <w:t>二</w:t>
      </w:r>
      <w:r>
        <w:rPr>
          <w:rFonts w:hint="eastAsia" w:ascii="仿宋" w:hAnsi="仿宋" w:eastAsia="仿宋" w:cs="仿宋"/>
          <w:b/>
          <w:color w:val="000000"/>
          <w:sz w:val="30"/>
          <w:szCs w:val="30"/>
          <w:lang w:val="en-US" w:eastAsia="zh-CN"/>
        </w:rPr>
        <w:t>零二六</w:t>
      </w:r>
      <w:r>
        <w:rPr>
          <w:rFonts w:hint="eastAsia" w:ascii="仿宋" w:hAnsi="仿宋" w:eastAsia="仿宋" w:cs="仿宋"/>
          <w:b/>
          <w:color w:val="000000"/>
          <w:sz w:val="30"/>
          <w:szCs w:val="30"/>
          <w:lang w:eastAsia="zh-CN"/>
        </w:rPr>
        <w:t>年</w:t>
      </w:r>
      <w:r>
        <w:rPr>
          <w:rFonts w:hint="eastAsia" w:ascii="仿宋" w:hAnsi="仿宋" w:eastAsia="仿宋" w:cs="仿宋"/>
          <w:b/>
          <w:color w:val="000000"/>
          <w:sz w:val="30"/>
          <w:szCs w:val="30"/>
          <w:lang w:val="en-US" w:eastAsia="zh-CN"/>
        </w:rPr>
        <w:t>三</w:t>
      </w:r>
      <w:r>
        <w:rPr>
          <w:rFonts w:hint="eastAsia" w:ascii="仿宋" w:hAnsi="仿宋" w:eastAsia="仿宋" w:cs="仿宋"/>
          <w:b/>
          <w:color w:val="000000"/>
          <w:sz w:val="30"/>
          <w:szCs w:val="30"/>
          <w:lang w:eastAsia="zh-CN"/>
        </w:rPr>
        <w:t>月</w:t>
      </w:r>
      <w:r>
        <w:rPr>
          <w:rFonts w:hint="eastAsia" w:ascii="仿宋" w:hAnsi="仿宋" w:eastAsia="仿宋" w:cs="仿宋"/>
          <w:b/>
          <w:color w:val="000000"/>
          <w:sz w:val="30"/>
          <w:szCs w:val="30"/>
          <w:lang w:val="en-US" w:eastAsia="zh-CN"/>
        </w:rPr>
        <w:t>二十五日</w:t>
      </w:r>
    </w:p>
    <w:p w14:paraId="4FA8D9EC">
      <w:pPr>
        <w:spacing w:after="480" w:line="480" w:lineRule="exact"/>
        <w:ind w:firstLine="360" w:firstLineChars="100"/>
        <w:jc w:val="center"/>
        <w:rPr>
          <w:rFonts w:hint="eastAsia" w:ascii="仿宋" w:hAnsi="仿宋" w:eastAsia="仿宋" w:cs="仿宋"/>
          <w:b/>
          <w:color w:val="000000"/>
          <w:sz w:val="36"/>
          <w:szCs w:val="36"/>
          <w:lang w:eastAsia="zh-CN"/>
        </w:rPr>
      </w:pPr>
    </w:p>
    <w:p w14:paraId="4368917E">
      <w:pPr>
        <w:spacing w:after="480" w:line="480" w:lineRule="exact"/>
        <w:ind w:firstLine="360" w:firstLineChars="100"/>
        <w:jc w:val="center"/>
        <w:rPr>
          <w:rFonts w:hint="eastAsia" w:ascii="仿宋" w:hAnsi="仿宋" w:eastAsia="仿宋" w:cs="仿宋"/>
          <w:b/>
          <w:color w:val="000000"/>
          <w:sz w:val="36"/>
          <w:szCs w:val="36"/>
          <w:lang w:eastAsia="zh-CN"/>
        </w:rPr>
      </w:pPr>
    </w:p>
    <w:p w14:paraId="7565A322">
      <w:pPr>
        <w:pStyle w:val="39"/>
        <w:rPr>
          <w:rFonts w:hint="eastAsia"/>
          <w:sz w:val="21"/>
          <w:szCs w:val="21"/>
        </w:rPr>
      </w:pPr>
      <w:bookmarkStart w:id="3" w:name="_Hlt36603616"/>
      <w:bookmarkEnd w:id="3"/>
      <w:bookmarkStart w:id="4" w:name="_Hlt36454365"/>
      <w:bookmarkEnd w:id="4"/>
      <w:bookmarkStart w:id="5" w:name="_Hlt36628060"/>
      <w:bookmarkEnd w:id="5"/>
      <w:bookmarkStart w:id="6" w:name="_Hlt36628019"/>
      <w:bookmarkEnd w:id="6"/>
      <w:bookmarkStart w:id="7" w:name="_Hlt36455544"/>
      <w:bookmarkEnd w:id="7"/>
      <w:bookmarkStart w:id="8" w:name="_Hlt36628078"/>
      <w:bookmarkEnd w:id="8"/>
      <w:bookmarkStart w:id="9" w:name="_Hlt36628044"/>
      <w:bookmarkEnd w:id="9"/>
      <w:bookmarkStart w:id="10" w:name="_Hlt36452891"/>
      <w:bookmarkEnd w:id="10"/>
      <w:r>
        <w:rPr>
          <w:rFonts w:hint="eastAsia"/>
          <w:sz w:val="21"/>
          <w:szCs w:val="21"/>
        </w:rPr>
        <w:t xml:space="preserve">                                  </w:t>
      </w:r>
    </w:p>
    <w:p w14:paraId="2588382C">
      <w:pPr>
        <w:pStyle w:val="39"/>
        <w:rPr>
          <w:rFonts w:hint="eastAsia"/>
          <w:sz w:val="21"/>
          <w:szCs w:val="21"/>
        </w:rPr>
      </w:pPr>
    </w:p>
    <w:p w14:paraId="2C402577">
      <w:pPr>
        <w:pStyle w:val="39"/>
        <w:rPr>
          <w:rFonts w:hint="eastAsia"/>
          <w:sz w:val="21"/>
          <w:szCs w:val="21"/>
        </w:rPr>
      </w:pPr>
      <w:r>
        <w:rPr>
          <w:rFonts w:hint="eastAsia"/>
          <w:sz w:val="21"/>
          <w:szCs w:val="21"/>
        </w:rPr>
        <w:t xml:space="preserve">   </w:t>
      </w:r>
    </w:p>
    <w:p w14:paraId="32640627">
      <w:pPr>
        <w:pStyle w:val="39"/>
        <w:rPr>
          <w:rFonts w:hint="eastAsia"/>
          <w:sz w:val="21"/>
          <w:szCs w:val="21"/>
        </w:rPr>
      </w:pPr>
      <w:r>
        <w:rPr>
          <w:rFonts w:hint="eastAsia"/>
          <w:sz w:val="21"/>
          <w:szCs w:val="21"/>
        </w:rPr>
        <w:t xml:space="preserve">                                    目   录</w:t>
      </w:r>
    </w:p>
    <w:p w14:paraId="72B03F01">
      <w:pPr>
        <w:spacing w:line="360" w:lineRule="auto"/>
        <w:rPr>
          <w:rFonts w:hint="eastAsia"/>
        </w:rPr>
      </w:pPr>
      <w:bookmarkStart w:id="11" w:name="_Hlt99441207"/>
      <w:r>
        <w:rPr>
          <w:rFonts w:hint="eastAsia"/>
        </w:rPr>
        <w:t>附件</w:t>
      </w:r>
      <w:r>
        <w:t>1</w:t>
      </w:r>
      <w:r>
        <w:rPr>
          <w:rFonts w:hint="eastAsia"/>
        </w:rPr>
        <w:t xml:space="preserve">  </w:t>
      </w:r>
      <w:r>
        <w:t xml:space="preserve"> </w:t>
      </w:r>
      <w:r>
        <w:rPr>
          <w:rFonts w:hint="eastAsia"/>
        </w:rPr>
        <w:t xml:space="preserve"> 技术规范</w:t>
      </w:r>
    </w:p>
    <w:p w14:paraId="0103BD70">
      <w:pPr>
        <w:spacing w:line="360" w:lineRule="auto"/>
        <w:rPr>
          <w:rFonts w:hint="eastAsia"/>
        </w:rPr>
      </w:pPr>
      <w:r>
        <w:rPr>
          <w:rFonts w:hint="eastAsia"/>
        </w:rPr>
        <w:t>附件</w:t>
      </w:r>
      <w:r>
        <w:t xml:space="preserve">2 </w:t>
      </w:r>
      <w:r>
        <w:rPr>
          <w:rFonts w:hint="eastAsia"/>
        </w:rPr>
        <w:t xml:space="preserve"> </w:t>
      </w:r>
      <w:r>
        <w:t xml:space="preserve"> </w:t>
      </w:r>
      <w:r>
        <w:rPr>
          <w:rFonts w:hint="eastAsia"/>
        </w:rPr>
        <w:t xml:space="preserve"> 供货范围</w:t>
      </w:r>
    </w:p>
    <w:p w14:paraId="12BD3CE3">
      <w:pPr>
        <w:spacing w:line="360" w:lineRule="auto"/>
        <w:rPr>
          <w:rFonts w:hint="eastAsia"/>
        </w:rPr>
      </w:pPr>
      <w:r>
        <w:rPr>
          <w:rFonts w:hint="eastAsia"/>
        </w:rPr>
        <w:t>附件</w:t>
      </w:r>
      <w:r>
        <w:t>3</w:t>
      </w:r>
      <w:r>
        <w:rPr>
          <w:rFonts w:hint="eastAsia"/>
        </w:rPr>
        <w:t xml:space="preserve">  </w:t>
      </w:r>
      <w:r>
        <w:t xml:space="preserve"> </w:t>
      </w:r>
      <w:r>
        <w:rPr>
          <w:rFonts w:hint="eastAsia"/>
        </w:rPr>
        <w:t xml:space="preserve"> 技术资料和交付进度</w:t>
      </w:r>
    </w:p>
    <w:p w14:paraId="2331A864">
      <w:pPr>
        <w:spacing w:line="360" w:lineRule="auto"/>
        <w:rPr>
          <w:rFonts w:hint="eastAsia"/>
        </w:rPr>
      </w:pPr>
      <w:r>
        <w:rPr>
          <w:rFonts w:hint="eastAsia"/>
        </w:rPr>
        <w:t xml:space="preserve">附件4  </w:t>
      </w:r>
      <w:r>
        <w:t xml:space="preserve"> </w:t>
      </w:r>
      <w:r>
        <w:rPr>
          <w:rFonts w:hint="eastAsia"/>
        </w:rPr>
        <w:t xml:space="preserve"> 交货进度</w:t>
      </w:r>
    </w:p>
    <w:p w14:paraId="5967F99F">
      <w:pPr>
        <w:spacing w:line="360" w:lineRule="auto"/>
        <w:rPr>
          <w:rFonts w:hint="eastAsia"/>
        </w:rPr>
      </w:pPr>
      <w:r>
        <w:rPr>
          <w:rFonts w:hint="eastAsia"/>
        </w:rPr>
        <w:t xml:space="preserve">附件5   </w:t>
      </w:r>
      <w:r>
        <w:t xml:space="preserve"> </w:t>
      </w:r>
      <w:r>
        <w:rPr>
          <w:rFonts w:hint="eastAsia"/>
        </w:rPr>
        <w:t>设备监造、检验和性能验收试验</w:t>
      </w:r>
    </w:p>
    <w:p w14:paraId="2CAEE521">
      <w:pPr>
        <w:spacing w:line="360" w:lineRule="auto"/>
        <w:rPr>
          <w:rFonts w:hint="eastAsia"/>
        </w:rPr>
      </w:pPr>
      <w:r>
        <w:rPr>
          <w:rFonts w:hint="eastAsia"/>
        </w:rPr>
        <w:t xml:space="preserve">附件6   </w:t>
      </w:r>
      <w:r>
        <w:t xml:space="preserve"> </w:t>
      </w:r>
      <w:r>
        <w:rPr>
          <w:rFonts w:hint="eastAsia"/>
        </w:rPr>
        <w:t>技术服务和设计联络</w:t>
      </w:r>
    </w:p>
    <w:p w14:paraId="5DFD3A92">
      <w:pPr>
        <w:spacing w:line="360" w:lineRule="auto"/>
        <w:rPr>
          <w:rFonts w:hint="eastAsia"/>
        </w:rPr>
      </w:pPr>
      <w:r>
        <w:rPr>
          <w:rFonts w:hint="eastAsia"/>
        </w:rPr>
        <w:t xml:space="preserve">附件7   </w:t>
      </w:r>
      <w:r>
        <w:t xml:space="preserve"> </w:t>
      </w:r>
      <w:r>
        <w:rPr>
          <w:rFonts w:hint="eastAsia"/>
        </w:rPr>
        <w:t>分包与外购</w:t>
      </w:r>
    </w:p>
    <w:p w14:paraId="00C21960">
      <w:pPr>
        <w:pStyle w:val="2"/>
        <w:rPr>
          <w:rFonts w:hint="eastAsia"/>
          <w:sz w:val="21"/>
          <w:szCs w:val="21"/>
        </w:rPr>
      </w:pPr>
      <w:r>
        <w:rPr>
          <w:sz w:val="21"/>
          <w:szCs w:val="21"/>
        </w:rPr>
        <w:br w:type="page"/>
      </w:r>
      <w:bookmarkStart w:id="12" w:name="_Toc264037158"/>
      <w:bookmarkStart w:id="13" w:name="_Toc99419737"/>
      <w:r>
        <w:rPr>
          <w:rFonts w:hint="eastAsia"/>
          <w:sz w:val="21"/>
          <w:szCs w:val="21"/>
        </w:rPr>
        <w:t>附件1   技术规范</w:t>
      </w:r>
      <w:bookmarkEnd w:id="12"/>
    </w:p>
    <w:p w14:paraId="1707F5C2">
      <w:pPr>
        <w:spacing w:before="240" w:line="360" w:lineRule="auto"/>
        <w:rPr>
          <w:rFonts w:ascii="Arial" w:hAnsi="Arial" w:cs="Arial"/>
          <w:color w:val="000000"/>
          <w:szCs w:val="21"/>
        </w:rPr>
      </w:pPr>
      <w:r>
        <w:rPr>
          <w:rFonts w:ascii="Arial" w:hAnsi="Arial" w:cs="Arial"/>
          <w:color w:val="000000"/>
          <w:szCs w:val="21"/>
        </w:rPr>
        <w:t>1</w:t>
      </w:r>
      <w:r>
        <w:rPr>
          <w:rFonts w:ascii="Arial" w:hAnsi="宋体" w:cs="Arial"/>
          <w:color w:val="000000"/>
          <w:szCs w:val="21"/>
        </w:rPr>
        <w:t>、总</w:t>
      </w:r>
      <w:r>
        <w:rPr>
          <w:rFonts w:ascii="Arial" w:hAnsi="Arial" w:cs="Arial"/>
          <w:color w:val="000000"/>
          <w:szCs w:val="21"/>
        </w:rPr>
        <w:t xml:space="preserve">  </w:t>
      </w:r>
      <w:r>
        <w:rPr>
          <w:rFonts w:ascii="Arial" w:hAnsi="宋体" w:cs="Arial"/>
          <w:color w:val="000000"/>
          <w:szCs w:val="21"/>
        </w:rPr>
        <w:t>则</w:t>
      </w:r>
    </w:p>
    <w:p w14:paraId="024DF7C4">
      <w:pPr>
        <w:spacing w:line="360" w:lineRule="auto"/>
        <w:rPr>
          <w:rFonts w:ascii="Arial" w:hAnsi="Arial" w:cs="Arial"/>
          <w:color w:val="000000"/>
          <w:szCs w:val="21"/>
        </w:rPr>
      </w:pPr>
      <w:r>
        <w:rPr>
          <w:rFonts w:ascii="Arial" w:hAnsi="Arial" w:cs="Arial"/>
          <w:color w:val="000000"/>
          <w:szCs w:val="21"/>
        </w:rPr>
        <w:t xml:space="preserve">1.1  </w:t>
      </w:r>
      <w:r>
        <w:rPr>
          <w:rFonts w:ascii="Arial" w:cs="Arial"/>
          <w:color w:val="000000"/>
          <w:szCs w:val="21"/>
        </w:rPr>
        <w:t>本规范书仅适用于</w:t>
      </w:r>
      <w:r>
        <w:rPr>
          <w:rFonts w:hint="eastAsia" w:ascii="Arial" w:cs="Arial"/>
          <w:color w:val="000000"/>
          <w:szCs w:val="21"/>
          <w:lang w:val="en-US" w:eastAsia="zh-CN"/>
        </w:rPr>
        <w:t>洛阳</w:t>
      </w:r>
      <w:r>
        <w:rPr>
          <w:rFonts w:hint="eastAsia"/>
          <w:szCs w:val="21"/>
        </w:rPr>
        <w:t>万基</w:t>
      </w:r>
      <w:r>
        <w:rPr>
          <w:rFonts w:hint="eastAsia"/>
          <w:szCs w:val="21"/>
          <w:lang w:val="en-US" w:eastAsia="zh-CN"/>
        </w:rPr>
        <w:t>宏远电力有限公司</w:t>
      </w:r>
      <w:r>
        <w:rPr>
          <w:rFonts w:hint="eastAsia"/>
          <w:szCs w:val="21"/>
          <w:lang w:eastAsia="zh-CN"/>
        </w:rPr>
        <w:t>#2机组</w:t>
      </w:r>
      <w:r>
        <w:rPr>
          <w:rFonts w:hint="eastAsia" w:ascii="Arial" w:cs="Arial"/>
          <w:color w:val="000000"/>
          <w:szCs w:val="21"/>
          <w:lang w:eastAsia="zh-CN"/>
        </w:rPr>
        <w:t>循环水泵</w:t>
      </w:r>
      <w:r>
        <w:rPr>
          <w:rFonts w:hint="eastAsia" w:ascii="Arial" w:cs="Arial"/>
          <w:color w:val="000000"/>
          <w:szCs w:val="21"/>
        </w:rPr>
        <w:t>的</w:t>
      </w:r>
      <w:r>
        <w:rPr>
          <w:rFonts w:ascii="Arial" w:cs="Arial"/>
          <w:color w:val="000000"/>
          <w:szCs w:val="21"/>
        </w:rPr>
        <w:t>高压变频调速装置</w:t>
      </w:r>
      <w:r>
        <w:rPr>
          <w:rFonts w:hint="eastAsia" w:ascii="宋体"/>
        </w:rPr>
        <w:t>及其附属设备</w:t>
      </w:r>
      <w:r>
        <w:rPr>
          <w:rFonts w:ascii="Arial" w:cs="Arial"/>
          <w:color w:val="000000"/>
          <w:szCs w:val="21"/>
        </w:rPr>
        <w:t>。它提出了对该变频</w:t>
      </w:r>
      <w:r>
        <w:rPr>
          <w:rFonts w:hint="eastAsia" w:ascii="Arial" w:cs="Arial"/>
          <w:color w:val="000000"/>
          <w:szCs w:val="21"/>
        </w:rPr>
        <w:t>器</w:t>
      </w:r>
      <w:r>
        <w:rPr>
          <w:rFonts w:ascii="Arial" w:cs="Arial"/>
          <w:color w:val="000000"/>
          <w:szCs w:val="21"/>
        </w:rPr>
        <w:t>本体及附属设备的功能设计、结构、性能、安装和试验等方面的技术要求及供货范围</w:t>
      </w:r>
      <w:r>
        <w:rPr>
          <w:rFonts w:hint="eastAsia" w:ascii="Arial" w:cs="Arial"/>
          <w:color w:val="000000"/>
          <w:szCs w:val="21"/>
          <w:lang w:eastAsia="zh-CN"/>
        </w:rPr>
        <w:t>；</w:t>
      </w:r>
      <w:r>
        <w:rPr>
          <w:rFonts w:hint="eastAsia" w:ascii="Arial" w:cs="Arial"/>
          <w:color w:val="auto"/>
          <w:szCs w:val="21"/>
        </w:rPr>
        <w:t>包括设计、设备选购、制造、供货、运输及储存、安装、电缆敷设、接线、土建施工、调试、消缺、培训、性能验收试验、交付投产和售后服务等所有工作。</w:t>
      </w:r>
    </w:p>
    <w:p w14:paraId="303F8CFB">
      <w:pPr>
        <w:spacing w:line="360" w:lineRule="auto"/>
        <w:rPr>
          <w:rFonts w:hint="eastAsia"/>
          <w:szCs w:val="21"/>
        </w:rPr>
      </w:pPr>
      <w:r>
        <w:rPr>
          <w:rFonts w:ascii="Arial" w:hAnsi="Arial" w:cs="Arial"/>
          <w:color w:val="000000"/>
          <w:szCs w:val="21"/>
        </w:rPr>
        <w:t>1.2</w:t>
      </w:r>
      <w:r>
        <w:rPr>
          <w:rFonts w:hint="eastAsia"/>
          <w:szCs w:val="21"/>
        </w:rPr>
        <w:t>本技术规范书提出了最低限度的技术要求，并未对一切技术细节作出规定，也未充分地详述有关标准和规范的条文，但投标方应保证提供符合本技术规范书和相关工业标准的功能齐全的优质产品及其相应服务。对国家有关安全、环保</w:t>
      </w:r>
      <w:r>
        <w:rPr>
          <w:rFonts w:hint="eastAsia" w:ascii="宋体" w:hAnsi="宋体"/>
        </w:rPr>
        <w:t>、消防以及其他</w:t>
      </w:r>
      <w:r>
        <w:rPr>
          <w:rFonts w:hint="eastAsia"/>
          <w:szCs w:val="21"/>
        </w:rPr>
        <w:t>等强制性标准必须满足其要求。</w:t>
      </w:r>
    </w:p>
    <w:p w14:paraId="67D5ADA8">
      <w:pPr>
        <w:spacing w:line="360" w:lineRule="auto"/>
        <w:rPr>
          <w:szCs w:val="21"/>
        </w:rPr>
      </w:pPr>
      <w:r>
        <w:rPr>
          <w:rFonts w:hint="eastAsia"/>
          <w:szCs w:val="21"/>
        </w:rPr>
        <w:t>1.3  投标方须执行本规范书所列要求、标准，本规范书中未提及的内容均应满足或优于本规范书所列的国家标准、电力行业标准和有关国际标准。本规范书所使用的标准如与投标人所执行的标准发生矛盾时，按较高标准执行。当本规范书中所提及的标准已修订时，以修订后版本执行。</w:t>
      </w:r>
    </w:p>
    <w:p w14:paraId="37CC507A">
      <w:pPr>
        <w:spacing w:line="360" w:lineRule="auto"/>
        <w:rPr>
          <w:rFonts w:hint="eastAsia"/>
          <w:szCs w:val="21"/>
        </w:rPr>
      </w:pPr>
      <w:r>
        <w:rPr>
          <w:rFonts w:hint="eastAsia"/>
          <w:szCs w:val="21"/>
        </w:rPr>
        <w:t>1.4  如投标方没有对本技术规范书提出书面偏差，招标方则可认为投标方完全接受和同意本技术规范书的要求，投标方提供的产品应完全满足本招标书的要求。投标方如对本招标书有异议，应以书面形式明确提出，偏差(无论多少)都必须清楚地在投标书中以“差异表”为标题的专门章节中加以详细描述，在征得招标方同意后，可对有关条文进行修改。如招标方不同意修改，仍以招标方意见为准。</w:t>
      </w:r>
    </w:p>
    <w:p w14:paraId="27890155">
      <w:pPr>
        <w:spacing w:line="360" w:lineRule="auto"/>
        <w:rPr>
          <w:rFonts w:hint="eastAsia"/>
          <w:szCs w:val="21"/>
        </w:rPr>
      </w:pPr>
      <w:r>
        <w:rPr>
          <w:rFonts w:hint="eastAsia"/>
          <w:szCs w:val="21"/>
        </w:rPr>
        <w:t>1.5投标方在投标文件中应提出合同设备的设计、制造、检验</w:t>
      </w:r>
      <w:r>
        <w:rPr>
          <w:szCs w:val="21"/>
        </w:rPr>
        <w:t>/</w:t>
      </w:r>
      <w:r>
        <w:rPr>
          <w:rFonts w:hint="eastAsia"/>
          <w:szCs w:val="21"/>
        </w:rPr>
        <w:t>试验、装配、安装、调试、试运、验收、试验、运行和维护等执行标准清单给招标方，招标方确认。标准应为最新版本。</w:t>
      </w:r>
    </w:p>
    <w:p w14:paraId="2C748644">
      <w:pPr>
        <w:spacing w:line="360" w:lineRule="auto"/>
        <w:rPr>
          <w:rFonts w:hint="eastAsia"/>
          <w:szCs w:val="21"/>
        </w:rPr>
      </w:pPr>
      <w:r>
        <w:rPr>
          <w:rFonts w:hint="eastAsia"/>
          <w:szCs w:val="21"/>
        </w:rPr>
        <w:t>1.6  在签订合同之后，招标人保留对本规范书提出补充要求和修改的权力，投标人应承诺予以配合。如提出修改，具体项目和条件由投标方、招标方双方共同商定。</w:t>
      </w:r>
    </w:p>
    <w:p w14:paraId="7F26089C">
      <w:pPr>
        <w:spacing w:line="360" w:lineRule="auto"/>
        <w:rPr>
          <w:rFonts w:hint="eastAsia"/>
          <w:szCs w:val="21"/>
        </w:rPr>
      </w:pPr>
      <w:r>
        <w:rPr>
          <w:rFonts w:hint="eastAsia"/>
          <w:szCs w:val="21"/>
        </w:rPr>
        <w:t>1.7  本招标书经招、投标人双方确认后作为订货合同的技术附件，与合同正文具有同等的法律效力。招标书未尽事宜，由招、投标方协商确定。</w:t>
      </w:r>
      <w:r>
        <w:rPr>
          <w:rFonts w:ascii="Arial" w:hAnsi="Arial" w:cs="Arial"/>
          <w:color w:val="000000"/>
          <w:szCs w:val="21"/>
        </w:rPr>
        <w:t>投标书使用语言为中文</w:t>
      </w:r>
      <w:r>
        <w:rPr>
          <w:rFonts w:hint="eastAsia" w:ascii="Arial" w:hAnsi="Arial" w:cs="Arial"/>
          <w:color w:val="000000"/>
          <w:szCs w:val="21"/>
        </w:rPr>
        <w:t>；</w:t>
      </w:r>
      <w:r>
        <w:rPr>
          <w:rFonts w:ascii="Arial" w:hAnsi="Arial" w:cs="Arial"/>
          <w:color w:val="000000"/>
          <w:szCs w:val="21"/>
        </w:rPr>
        <w:t>所有文件、图纸采用中文，相互间的通讯、谈判、合同及签约后的联络和服务等均应使用中文。</w:t>
      </w:r>
    </w:p>
    <w:p w14:paraId="55578570">
      <w:pPr>
        <w:spacing w:line="360" w:lineRule="auto"/>
        <w:rPr>
          <w:rFonts w:hint="eastAsia"/>
          <w:szCs w:val="21"/>
        </w:rPr>
      </w:pPr>
      <w:r>
        <w:rPr>
          <w:rFonts w:hint="eastAsia"/>
          <w:szCs w:val="21"/>
        </w:rPr>
        <w:t>1.8  设备采用的专利涉及到的全部费用均被认为已包含在设备报价中，投标方应保证招标方不承担有关设备专利的一切责任。本技术规范书未明确标示或设计及供货界限范围划分存在异议的，均由投标方负责设计、供货、施工。</w:t>
      </w:r>
    </w:p>
    <w:p w14:paraId="669B97CF">
      <w:pPr>
        <w:spacing w:line="360" w:lineRule="auto"/>
        <w:rPr>
          <w:rFonts w:hint="eastAsia"/>
          <w:color w:val="auto"/>
          <w:szCs w:val="21"/>
        </w:rPr>
      </w:pPr>
      <w:r>
        <w:rPr>
          <w:rFonts w:hint="eastAsia"/>
          <w:color w:val="auto"/>
          <w:szCs w:val="21"/>
        </w:rPr>
        <w:t>1.9 投标方</w:t>
      </w:r>
      <w:r>
        <w:rPr>
          <w:rFonts w:hint="eastAsia"/>
          <w:color w:val="auto"/>
          <w:szCs w:val="21"/>
          <w:lang w:eastAsia="zh-CN"/>
        </w:rPr>
        <w:t>（</w:t>
      </w:r>
      <w:r>
        <w:rPr>
          <w:rFonts w:hint="eastAsia"/>
          <w:color w:val="auto"/>
          <w:szCs w:val="21"/>
          <w:lang w:val="en-US" w:eastAsia="zh-CN"/>
        </w:rPr>
        <w:t>品牌</w:t>
      </w:r>
      <w:r>
        <w:rPr>
          <w:rFonts w:hint="eastAsia"/>
          <w:color w:val="auto"/>
          <w:szCs w:val="21"/>
          <w:lang w:eastAsia="zh-CN"/>
        </w:rPr>
        <w:t>）</w:t>
      </w:r>
      <w:r>
        <w:rPr>
          <w:rFonts w:hint="eastAsia"/>
          <w:color w:val="auto"/>
          <w:szCs w:val="21"/>
        </w:rPr>
        <w:t>应至少有在国内同等规模或以上电厂制造生产该设备</w:t>
      </w:r>
      <w:r>
        <w:rPr>
          <w:rFonts w:hint="eastAsia"/>
          <w:color w:val="auto"/>
          <w:szCs w:val="21"/>
          <w:lang w:val="en-US" w:eastAsia="zh-CN"/>
        </w:rPr>
        <w:t>10</w:t>
      </w:r>
      <w:r>
        <w:rPr>
          <w:rFonts w:hint="eastAsia"/>
          <w:color w:val="auto"/>
          <w:szCs w:val="21"/>
        </w:rPr>
        <w:t>台﹑2个及以上电厂</w:t>
      </w:r>
      <w:r>
        <w:rPr>
          <w:rFonts w:hint="eastAsia"/>
          <w:color w:val="auto"/>
          <w:szCs w:val="21"/>
          <w:lang w:val="en-US" w:eastAsia="zh-CN"/>
        </w:rPr>
        <w:t>循环水泵变频改造项目</w:t>
      </w:r>
      <w:r>
        <w:rPr>
          <w:rFonts w:hint="eastAsia"/>
          <w:color w:val="auto"/>
          <w:szCs w:val="21"/>
        </w:rPr>
        <w:t>业绩。投标方对本供货范围中的成套系统内设备（含辅助系统与设备、附件等）负有全责，包括对外采购的产品。所有分包/外购的设备需有600MW超超临界以上机组的使用业绩</w:t>
      </w:r>
      <w:r>
        <w:rPr>
          <w:rFonts w:hint="eastAsia"/>
          <w:color w:val="auto"/>
          <w:szCs w:val="21"/>
          <w:lang w:eastAsia="zh-CN"/>
        </w:rPr>
        <w:t>，</w:t>
      </w:r>
      <w:r>
        <w:rPr>
          <w:rFonts w:hint="eastAsia"/>
          <w:color w:val="auto"/>
          <w:szCs w:val="21"/>
        </w:rPr>
        <w:t>投标方供货范围内所有分包采购的设备（含主要材料）品牌须经招标方</w:t>
      </w:r>
      <w:r>
        <w:rPr>
          <w:rFonts w:hint="eastAsia"/>
          <w:color w:val="auto"/>
          <w:szCs w:val="21"/>
          <w:lang w:val="en-US" w:eastAsia="zh-CN"/>
        </w:rPr>
        <w:t>确认</w:t>
      </w:r>
      <w:r>
        <w:rPr>
          <w:rFonts w:hint="eastAsia"/>
          <w:color w:val="auto"/>
          <w:szCs w:val="21"/>
        </w:rPr>
        <w:t>。</w:t>
      </w:r>
    </w:p>
    <w:p w14:paraId="2E23EC0F">
      <w:pPr>
        <w:spacing w:line="360" w:lineRule="auto"/>
        <w:ind w:firstLine="420" w:firstLineChars="200"/>
        <w:rPr>
          <w:rFonts w:hint="eastAsia" w:ascii="Arial" w:hAnsi="Arial" w:eastAsia="宋体" w:cs="Arial"/>
          <w:color w:val="FF0000"/>
          <w:sz w:val="21"/>
          <w:szCs w:val="21"/>
          <w:lang w:eastAsia="zh-CN"/>
        </w:rPr>
      </w:pPr>
      <w:r>
        <w:rPr>
          <w:rFonts w:ascii="Arial" w:hAnsi="Arial" w:cs="Arial"/>
          <w:color w:val="auto"/>
          <w:szCs w:val="21"/>
        </w:rPr>
        <w:t>1.</w:t>
      </w:r>
      <w:r>
        <w:rPr>
          <w:rFonts w:hint="eastAsia" w:ascii="Arial" w:hAnsi="Arial" w:cs="Arial"/>
          <w:color w:val="auto"/>
          <w:szCs w:val="21"/>
        </w:rPr>
        <w:t xml:space="preserve">10  </w:t>
      </w:r>
      <w:r>
        <w:rPr>
          <w:rFonts w:hint="eastAsia"/>
          <w:color w:val="auto"/>
          <w:kern w:val="0"/>
          <w:sz w:val="21"/>
          <w:szCs w:val="21"/>
          <w:lang w:bidi="ar"/>
        </w:rPr>
        <w:t>投标人</w:t>
      </w:r>
      <w:r>
        <w:rPr>
          <w:rFonts w:hint="eastAsia"/>
          <w:b w:val="0"/>
          <w:bCs w:val="0"/>
          <w:color w:val="auto"/>
          <w:kern w:val="0"/>
          <w:sz w:val="21"/>
          <w:szCs w:val="21"/>
          <w:lang w:val="en-US" w:eastAsia="zh-CN" w:bidi="ar"/>
        </w:rPr>
        <w:t>资质要求：</w:t>
      </w:r>
      <w:r>
        <w:rPr>
          <w:rFonts w:hint="eastAsia"/>
          <w:color w:val="auto"/>
          <w:kern w:val="0"/>
          <w:sz w:val="21"/>
          <w:szCs w:val="21"/>
          <w:lang w:bidi="ar"/>
        </w:rPr>
        <w:t>投标人依法在中华人民共和国境内登记注册，具有独立法人资格和一般纳税人资格，持有效营业执照；投标人具有良好的银行资信</w:t>
      </w:r>
      <w:r>
        <w:rPr>
          <w:rFonts w:hint="eastAsia"/>
          <w:color w:val="auto"/>
          <w:kern w:val="0"/>
          <w:sz w:val="21"/>
          <w:szCs w:val="21"/>
          <w:lang w:eastAsia="zh-CN" w:bidi="ar"/>
        </w:rPr>
        <w:t>，</w:t>
      </w:r>
      <w:r>
        <w:rPr>
          <w:rFonts w:hint="eastAsia" w:eastAsia="宋体"/>
          <w:color w:val="auto"/>
          <w:kern w:val="0"/>
          <w:sz w:val="21"/>
          <w:szCs w:val="21"/>
          <w:lang w:val="en-US" w:eastAsia="zh-CN" w:bidi="ar"/>
        </w:rPr>
        <w:t>投标人需提供2022年-2024年间连续三年，经会计师事务所或审计机构出具的财务审计报告【至少包括审计报告正文、签字盖章页、资产负债表、利润表、现金流量表】，投标人新成立不足三年的企业需提供自成立以来的财务审计报告</w:t>
      </w:r>
      <w:r>
        <w:rPr>
          <w:rFonts w:hint="eastAsia"/>
          <w:color w:val="auto"/>
          <w:kern w:val="0"/>
          <w:sz w:val="21"/>
          <w:szCs w:val="21"/>
          <w:lang w:eastAsia="zh-CN" w:bidi="ar"/>
        </w:rPr>
        <w:t>；</w:t>
      </w:r>
      <w:r>
        <w:rPr>
          <w:rFonts w:hint="eastAsia"/>
          <w:color w:val="auto"/>
          <w:kern w:val="0"/>
          <w:sz w:val="21"/>
          <w:szCs w:val="21"/>
          <w:lang w:bidi="ar"/>
        </w:rPr>
        <w:t>投标人不得在“信用中国”网站被列为失信被执行人；</w:t>
      </w:r>
      <w:r>
        <w:rPr>
          <w:rFonts w:hint="eastAsia"/>
          <w:color w:val="auto"/>
          <w:kern w:val="0"/>
          <w:sz w:val="21"/>
          <w:szCs w:val="21"/>
          <w:lang w:val="en-US" w:eastAsia="zh-CN" w:bidi="ar"/>
        </w:rPr>
        <w:t>投标人近五年不存在因为产品质量问题引起的诉讼。</w:t>
      </w:r>
      <w:r>
        <w:rPr>
          <w:rFonts w:hint="eastAsia"/>
          <w:color w:val="auto"/>
          <w:kern w:val="0"/>
          <w:sz w:val="21"/>
          <w:szCs w:val="21"/>
          <w:lang w:bidi="ar"/>
        </w:rPr>
        <w:t>投标人须通过质量管理体系认证；投标人应具有本次招标设备的设计、制造、质量控制、经营管理的相应的资格和能力。</w:t>
      </w:r>
      <w:r>
        <w:rPr>
          <w:rFonts w:hint="eastAsia"/>
          <w:color w:val="auto"/>
          <w:kern w:val="0"/>
          <w:sz w:val="21"/>
          <w:szCs w:val="21"/>
          <w:highlight w:val="none"/>
          <w:lang w:val="en-US" w:eastAsia="zh-CN" w:bidi="ar"/>
        </w:rPr>
        <w:t>代理商参与投标的必须提供</w:t>
      </w:r>
      <w:r>
        <w:rPr>
          <w:rFonts w:hint="eastAsia"/>
          <w:color w:val="auto"/>
          <w:kern w:val="0"/>
          <w:sz w:val="21"/>
          <w:szCs w:val="21"/>
          <w:highlight w:val="none"/>
          <w:lang w:bidi="ar"/>
        </w:rPr>
        <w:t>设备制造商授权</w:t>
      </w:r>
      <w:r>
        <w:rPr>
          <w:rFonts w:hint="eastAsia"/>
          <w:color w:val="auto"/>
          <w:kern w:val="0"/>
          <w:sz w:val="21"/>
          <w:szCs w:val="21"/>
          <w:highlight w:val="none"/>
          <w:lang w:eastAsia="zh-CN" w:bidi="ar"/>
        </w:rPr>
        <w:t>。</w:t>
      </w:r>
    </w:p>
    <w:p w14:paraId="1D63A11A">
      <w:pPr>
        <w:pStyle w:val="142"/>
        <w:keepNext w:val="0"/>
        <w:keepLines w:val="0"/>
        <w:pageBreakBefore w:val="0"/>
        <w:widowControl w:val="0"/>
        <w:tabs>
          <w:tab w:val="left" w:pos="480"/>
          <w:tab w:val="left" w:pos="1680"/>
        </w:tabs>
        <w:kinsoku/>
        <w:wordWrap/>
        <w:overflowPunct/>
        <w:topLinePunct w:val="0"/>
        <w:autoSpaceDE/>
        <w:autoSpaceDN/>
        <w:bidi w:val="0"/>
        <w:snapToGrid/>
        <w:spacing w:line="360" w:lineRule="auto"/>
        <w:jc w:val="left"/>
        <w:rPr>
          <w:rFonts w:hint="eastAsia" w:hAnsi="宋体"/>
          <w:sz w:val="21"/>
          <w:szCs w:val="21"/>
        </w:rPr>
      </w:pPr>
      <w:r>
        <w:rPr>
          <w:rFonts w:hint="eastAsia" w:ascii="Arial" w:hAnsi="Arial" w:eastAsia="宋体" w:cs="Arial"/>
          <w:color w:val="000000"/>
          <w:kern w:val="2"/>
          <w:sz w:val="21"/>
          <w:szCs w:val="21"/>
          <w:lang w:val="en-US" w:eastAsia="zh-CN" w:bidi="ar-SA"/>
        </w:rPr>
        <w:t xml:space="preserve">1.11 </w:t>
      </w:r>
      <w:r>
        <w:rPr>
          <w:rFonts w:hint="eastAsia" w:hAnsi="宋体"/>
        </w:rPr>
        <w:t xml:space="preserve"> </w:t>
      </w:r>
      <w:r>
        <w:rPr>
          <w:rFonts w:hint="eastAsia" w:hAnsi="宋体"/>
          <w:sz w:val="21"/>
          <w:szCs w:val="21"/>
        </w:rPr>
        <w:t>投标人无偿配合招标人进行KKS标识系统编码工作。</w:t>
      </w:r>
      <w:r>
        <w:rPr>
          <w:rFonts w:hAnsi="宋体"/>
          <w:sz w:val="21"/>
          <w:szCs w:val="21"/>
        </w:rPr>
        <w:t>投标人在中标后提供的技术资料（包括图纸）和设备的标识必须有KKS编码。KKS编码系统的编制原则由招标人提出，具体标识由投标人编制提出，在设计联络会上讨论确定</w:t>
      </w:r>
      <w:r>
        <w:rPr>
          <w:rFonts w:hint="eastAsia" w:hAnsi="宋体"/>
          <w:sz w:val="21"/>
          <w:szCs w:val="21"/>
        </w:rPr>
        <w:t>。</w:t>
      </w:r>
    </w:p>
    <w:p w14:paraId="2C95073B">
      <w:pPr>
        <w:keepNext w:val="0"/>
        <w:keepLines w:val="0"/>
        <w:pageBreakBefore w:val="0"/>
        <w:widowControl w:val="0"/>
        <w:kinsoku/>
        <w:wordWrap/>
        <w:overflowPunct/>
        <w:topLinePunct w:val="0"/>
        <w:autoSpaceDE/>
        <w:autoSpaceDN/>
        <w:bidi w:val="0"/>
        <w:snapToGrid/>
        <w:spacing w:line="360" w:lineRule="auto"/>
        <w:rPr>
          <w:rFonts w:hint="eastAsia" w:ascii="宋体" w:hAnsi="宋体" w:eastAsia="宋体" w:cs="Times New Roman"/>
          <w:kern w:val="0"/>
          <w:sz w:val="21"/>
          <w:szCs w:val="21"/>
          <w:lang w:val="en-US" w:eastAsia="zh-CN" w:bidi="ar-SA"/>
        </w:rPr>
      </w:pPr>
      <w:r>
        <w:rPr>
          <w:rFonts w:hint="eastAsia" w:ascii="Arial" w:hAnsi="Arial" w:eastAsia="宋体" w:cs="Arial"/>
          <w:color w:val="000000"/>
          <w:kern w:val="2"/>
          <w:sz w:val="21"/>
          <w:szCs w:val="21"/>
          <w:lang w:val="en-US" w:eastAsia="zh-CN" w:bidi="ar-SA"/>
        </w:rPr>
        <w:t xml:space="preserve">1.12  </w:t>
      </w:r>
      <w:r>
        <w:rPr>
          <w:rFonts w:hint="eastAsia" w:ascii="宋体" w:hAnsi="宋体" w:eastAsia="宋体" w:cs="Times New Roman"/>
          <w:kern w:val="0"/>
          <w:sz w:val="21"/>
          <w:szCs w:val="21"/>
          <w:lang w:val="en-US" w:eastAsia="zh-CN" w:bidi="ar-SA"/>
        </w:rPr>
        <w:t>投标人需要增加的数据、资料和要求，必须在开标前提出书面澄清。合同签订后投标人不能提出任何关于费用和工期延迟的要求。</w:t>
      </w:r>
    </w:p>
    <w:p w14:paraId="1CE04EA4">
      <w:pPr>
        <w:keepNext w:val="0"/>
        <w:keepLines w:val="0"/>
        <w:pageBreakBefore w:val="0"/>
        <w:widowControl w:val="0"/>
        <w:kinsoku/>
        <w:wordWrap/>
        <w:overflowPunct/>
        <w:topLinePunct w:val="0"/>
        <w:autoSpaceDE/>
        <w:autoSpaceDN/>
        <w:bidi w:val="0"/>
        <w:snapToGrid/>
        <w:spacing w:line="360" w:lineRule="auto"/>
        <w:rPr>
          <w:rFonts w:hint="eastAsia" w:ascii="宋体" w:hAnsi="宋体" w:eastAsia="宋体" w:cs="Times New Roman"/>
          <w:kern w:val="0"/>
          <w:sz w:val="21"/>
          <w:szCs w:val="21"/>
          <w:lang w:val="en-US" w:eastAsia="zh-CN" w:bidi="ar-SA"/>
        </w:rPr>
      </w:pPr>
      <w:r>
        <w:rPr>
          <w:rFonts w:hint="eastAsia" w:ascii="Arial" w:hAnsi="Arial" w:eastAsia="宋体" w:cs="Arial"/>
          <w:color w:val="000000"/>
          <w:kern w:val="2"/>
          <w:sz w:val="21"/>
          <w:szCs w:val="21"/>
          <w:lang w:val="en-US" w:eastAsia="zh-CN" w:bidi="ar-SA"/>
        </w:rPr>
        <w:t xml:space="preserve">1.13  </w:t>
      </w:r>
      <w:r>
        <w:rPr>
          <w:rFonts w:hint="eastAsia" w:ascii="宋体" w:hAnsi="宋体" w:eastAsia="宋体" w:cs="Times New Roman"/>
          <w:kern w:val="0"/>
          <w:sz w:val="21"/>
          <w:szCs w:val="21"/>
          <w:lang w:val="en-US" w:eastAsia="zh-CN" w:bidi="ar-SA"/>
        </w:rPr>
        <w:t>投标人应对所提供的改造方案、应用的技术、采用的所有产品及改造后的实际运行效果负全部责任，同时需满足招标文件的要求。本次改造完成后系统正常运行中，如因投标方提供的设计方案不合理或产品质量问题引发的设备缺陷等问题，投标方应立即无条件处理好，确保系统正常运行。</w:t>
      </w:r>
    </w:p>
    <w:p w14:paraId="30E2E5EC">
      <w:pPr>
        <w:spacing w:before="240" w:line="360" w:lineRule="auto"/>
        <w:rPr>
          <w:rFonts w:ascii="Arial" w:hAnsi="Arial" w:cs="Arial"/>
          <w:b/>
          <w:color w:val="000000"/>
          <w:szCs w:val="21"/>
        </w:rPr>
      </w:pPr>
      <w:r>
        <w:rPr>
          <w:rFonts w:ascii="Arial" w:hAnsi="Arial" w:cs="Arial"/>
          <w:b/>
          <w:color w:val="000000"/>
          <w:szCs w:val="21"/>
        </w:rPr>
        <w:t>2</w:t>
      </w:r>
      <w:r>
        <w:rPr>
          <w:rFonts w:hint="eastAsia" w:ascii="Arial" w:hAnsi="宋体" w:cs="Arial"/>
          <w:b/>
          <w:color w:val="000000"/>
          <w:szCs w:val="21"/>
        </w:rPr>
        <w:t xml:space="preserve">. </w:t>
      </w:r>
      <w:r>
        <w:rPr>
          <w:rFonts w:ascii="Arial" w:hAnsi="宋体" w:cs="Arial"/>
          <w:b/>
          <w:color w:val="000000"/>
          <w:szCs w:val="21"/>
        </w:rPr>
        <w:t>技术要求</w:t>
      </w:r>
    </w:p>
    <w:p w14:paraId="7FD25C12">
      <w:pPr>
        <w:spacing w:line="360" w:lineRule="auto"/>
        <w:rPr>
          <w:rFonts w:ascii="Arial" w:hAnsi="Arial" w:cs="Arial"/>
          <w:color w:val="000000"/>
          <w:szCs w:val="21"/>
        </w:rPr>
      </w:pPr>
      <w:r>
        <w:rPr>
          <w:rFonts w:ascii="Arial" w:hAnsi="Arial" w:cs="Arial"/>
          <w:color w:val="000000"/>
          <w:szCs w:val="21"/>
        </w:rPr>
        <w:t xml:space="preserve">2.1 </w:t>
      </w:r>
      <w:r>
        <w:rPr>
          <w:rFonts w:ascii="Arial" w:cs="Arial"/>
          <w:color w:val="000000"/>
          <w:szCs w:val="21"/>
        </w:rPr>
        <w:t>应遵循的主要标准</w:t>
      </w:r>
    </w:p>
    <w:p w14:paraId="2234F2F2">
      <w:pPr>
        <w:pStyle w:val="34"/>
        <w:ind w:left="0" w:leftChars="0" w:firstLine="480" w:firstLineChars="200"/>
        <w:rPr>
          <w:rFonts w:ascii="Arial" w:hAnsi="Arial" w:cs="Arial"/>
          <w:color w:val="000000"/>
          <w:szCs w:val="21"/>
        </w:rPr>
      </w:pPr>
      <w:r>
        <w:rPr>
          <w:rFonts w:ascii="Arial" w:cs="Arial"/>
          <w:color w:val="000000"/>
          <w:szCs w:val="21"/>
        </w:rPr>
        <w:t>下列标准所包含的条文，通过在本规范书中引用而构成本规范书的基本条文。在本规范书出版时，所示版本均为有效。所有标准都会被修订，使用本规范书的各方应探讨使用下列标准最新版本的可能性。</w:t>
      </w:r>
    </w:p>
    <w:p w14:paraId="7000C3A0">
      <w:pPr>
        <w:widowControl/>
        <w:tabs>
          <w:tab w:val="left" w:pos="360"/>
        </w:tabs>
        <w:spacing w:line="360" w:lineRule="auto"/>
        <w:ind w:firstLine="420" w:firstLineChars="200"/>
        <w:contextualSpacing/>
        <w:rPr>
          <w:rFonts w:hint="eastAsia" w:ascii="宋体" w:hAnsi="宋体" w:cs="宋体"/>
          <w:szCs w:val="21"/>
          <w:highlight w:val="none"/>
        </w:rPr>
      </w:pPr>
      <w:r>
        <w:rPr>
          <w:rFonts w:hint="eastAsia" w:ascii="宋体" w:hAnsi="宋体" w:cs="宋体"/>
          <w:szCs w:val="21"/>
          <w:highlight w:val="none"/>
        </w:rPr>
        <w:t>《火力发电厂土建结构设计规程》  [DL 5022-2023]</w:t>
      </w:r>
    </w:p>
    <w:p w14:paraId="31731A45">
      <w:pPr>
        <w:widowControl/>
        <w:tabs>
          <w:tab w:val="left" w:pos="360"/>
        </w:tabs>
        <w:spacing w:line="360" w:lineRule="auto"/>
        <w:ind w:firstLine="420" w:firstLineChars="200"/>
        <w:contextualSpacing/>
        <w:rPr>
          <w:rFonts w:hint="eastAsia" w:ascii="宋体" w:hAnsi="宋体" w:cs="宋体"/>
          <w:szCs w:val="21"/>
          <w:highlight w:val="none"/>
        </w:rPr>
      </w:pPr>
      <w:r>
        <w:rPr>
          <w:rFonts w:hint="eastAsia" w:ascii="宋体" w:hAnsi="宋体" w:cs="宋体"/>
          <w:szCs w:val="21"/>
          <w:highlight w:val="none"/>
        </w:rPr>
        <w:t>《电力工程地基处理技术规程》</w:t>
      </w:r>
      <w:r>
        <w:rPr>
          <w:rFonts w:hint="eastAsia" w:ascii="宋体" w:hAnsi="宋体" w:cs="宋体"/>
          <w:szCs w:val="21"/>
          <w:highlight w:val="none"/>
        </w:rPr>
        <w:tab/>
      </w:r>
      <w:r>
        <w:rPr>
          <w:rFonts w:hint="eastAsia" w:ascii="宋体" w:hAnsi="宋体" w:cs="宋体"/>
          <w:szCs w:val="21"/>
          <w:highlight w:val="none"/>
        </w:rPr>
        <w:t>[DL/T 5024-2020]</w:t>
      </w:r>
    </w:p>
    <w:p w14:paraId="661FD941">
      <w:pPr>
        <w:spacing w:line="360" w:lineRule="auto"/>
        <w:ind w:firstLine="420"/>
        <w:rPr>
          <w:rFonts w:hint="eastAsia" w:ascii="宋体" w:hAnsi="宋体" w:cs="宋体"/>
          <w:b/>
          <w:bCs/>
          <w:szCs w:val="21"/>
          <w:highlight w:val="none"/>
        </w:rPr>
      </w:pPr>
      <w:r>
        <w:rPr>
          <w:rFonts w:hint="eastAsia" w:ascii="宋体" w:hAnsi="宋体" w:cs="宋体"/>
          <w:szCs w:val="21"/>
          <w:highlight w:val="none"/>
        </w:rPr>
        <w:t>《3.6kV～40.5kV交流金属封闭开关设备和控制设备》 [</w:t>
      </w:r>
      <w:r>
        <w:rPr>
          <w:rFonts w:ascii="宋体" w:hAnsi="宋体" w:cs="宋体"/>
          <w:szCs w:val="21"/>
          <w:highlight w:val="none"/>
        </w:rPr>
        <w:t>DL/T 404-2018</w:t>
      </w:r>
      <w:r>
        <w:rPr>
          <w:rFonts w:hint="eastAsia" w:ascii="宋体" w:hAnsi="宋体" w:cs="宋体"/>
          <w:szCs w:val="21"/>
          <w:highlight w:val="none"/>
        </w:rPr>
        <w:t>]</w:t>
      </w:r>
    </w:p>
    <w:p w14:paraId="3D1339E5">
      <w:pPr>
        <w:snapToGrid w:val="0"/>
        <w:spacing w:line="360" w:lineRule="auto"/>
        <w:ind w:firstLine="452" w:firstLineChars="200"/>
        <w:rPr>
          <w:rFonts w:ascii="宋体" w:hAnsi="宋体"/>
          <w:color w:val="000000"/>
          <w:spacing w:val="8"/>
          <w:szCs w:val="21"/>
        </w:rPr>
      </w:pPr>
      <w:r>
        <w:rPr>
          <w:rFonts w:hint="eastAsia" w:ascii="宋体" w:hAnsi="宋体"/>
          <w:color w:val="000000"/>
          <w:spacing w:val="8"/>
          <w:szCs w:val="21"/>
        </w:rPr>
        <w:t>IEC</w:t>
      </w:r>
      <w:r>
        <w:rPr>
          <w:rFonts w:hint="eastAsia" w:ascii="宋体" w:hAnsi="宋体"/>
          <w:color w:val="000000"/>
          <w:spacing w:val="8"/>
          <w:szCs w:val="21"/>
          <w:lang w:val="en-US" w:eastAsia="zh-CN"/>
        </w:rPr>
        <w:t xml:space="preserve"> </w:t>
      </w:r>
      <w:r>
        <w:rPr>
          <w:rFonts w:hint="eastAsia" w:ascii="宋体" w:hAnsi="宋体"/>
          <w:color w:val="000000"/>
          <w:spacing w:val="8"/>
          <w:szCs w:val="21"/>
        </w:rPr>
        <w:t>60076                 电力变压器</w:t>
      </w:r>
    </w:p>
    <w:p w14:paraId="3900BC97">
      <w:pPr>
        <w:snapToGrid w:val="0"/>
        <w:spacing w:line="360" w:lineRule="auto"/>
        <w:ind w:firstLine="452" w:firstLineChars="200"/>
        <w:rPr>
          <w:rFonts w:ascii="宋体" w:hAnsi="宋体"/>
          <w:color w:val="000000"/>
          <w:spacing w:val="8"/>
          <w:szCs w:val="21"/>
        </w:rPr>
      </w:pPr>
      <w:r>
        <w:rPr>
          <w:rFonts w:hint="eastAsia" w:ascii="宋体" w:hAnsi="宋体"/>
          <w:color w:val="000000"/>
          <w:spacing w:val="8"/>
          <w:szCs w:val="21"/>
        </w:rPr>
        <w:t>IEC</w:t>
      </w:r>
      <w:r>
        <w:rPr>
          <w:rFonts w:hint="eastAsia" w:ascii="宋体" w:hAnsi="宋体"/>
          <w:color w:val="000000"/>
          <w:spacing w:val="8"/>
          <w:szCs w:val="21"/>
          <w:lang w:val="en-US" w:eastAsia="zh-CN"/>
        </w:rPr>
        <w:t xml:space="preserve"> </w:t>
      </w:r>
      <w:r>
        <w:rPr>
          <w:rFonts w:hint="eastAsia" w:ascii="宋体" w:hAnsi="宋体"/>
          <w:color w:val="000000"/>
          <w:spacing w:val="8"/>
          <w:szCs w:val="21"/>
        </w:rPr>
        <w:t>60529                 外壳防护等级</w:t>
      </w:r>
    </w:p>
    <w:p w14:paraId="5793B670">
      <w:pPr>
        <w:snapToGrid w:val="0"/>
        <w:spacing w:line="360" w:lineRule="auto"/>
        <w:ind w:firstLine="452" w:firstLineChars="200"/>
        <w:rPr>
          <w:rFonts w:ascii="宋体" w:hAnsi="宋体"/>
          <w:color w:val="000000"/>
          <w:spacing w:val="8"/>
          <w:szCs w:val="21"/>
        </w:rPr>
      </w:pPr>
      <w:r>
        <w:rPr>
          <w:rFonts w:hint="eastAsia" w:ascii="宋体" w:hAnsi="宋体"/>
          <w:color w:val="000000"/>
          <w:spacing w:val="8"/>
          <w:szCs w:val="21"/>
        </w:rPr>
        <w:t xml:space="preserve">IEC 61131                </w:t>
      </w:r>
      <w:r>
        <w:fldChar w:fldCharType="begin"/>
      </w:r>
      <w:r>
        <w:instrText xml:space="preserve">HYPERLINK "http://www.chinastandard.com.cn/xxxs.asp?id=2491&amp;id0=02" \t "_blank"</w:instrText>
      </w:r>
      <w:r>
        <w:fldChar w:fldCharType="separate"/>
      </w:r>
      <w:r>
        <w:rPr>
          <w:rFonts w:hint="eastAsia" w:ascii="宋体" w:hAnsi="宋体"/>
          <w:color w:val="000000"/>
          <w:spacing w:val="8"/>
          <w:szCs w:val="21"/>
        </w:rPr>
        <w:t>可编程控制器</w:t>
      </w:r>
      <w:r>
        <w:fldChar w:fldCharType="end"/>
      </w:r>
    </w:p>
    <w:p w14:paraId="73454B08">
      <w:pPr>
        <w:keepNext w:val="0"/>
        <w:keepLines w:val="0"/>
        <w:pageBreakBefore w:val="0"/>
        <w:widowControl/>
        <w:numPr>
          <w:ilvl w:val="0"/>
          <w:numId w:val="0"/>
        </w:numPr>
        <w:tabs>
          <w:tab w:val="left" w:pos="360"/>
        </w:tabs>
        <w:kinsoku/>
        <w:wordWrap/>
        <w:overflowPunct/>
        <w:topLinePunct w:val="0"/>
        <w:autoSpaceDE/>
        <w:autoSpaceDN/>
        <w:bidi w:val="0"/>
        <w:adjustRightInd/>
        <w:snapToGrid/>
        <w:spacing w:before="0" w:after="0" w:line="360" w:lineRule="auto"/>
        <w:ind w:leftChars="0" w:firstLine="452" w:firstLineChars="200"/>
        <w:contextualSpacing/>
        <w:jc w:val="both"/>
        <w:textAlignment w:val="auto"/>
      </w:pPr>
      <w:r>
        <w:rPr>
          <w:rFonts w:hint="eastAsia" w:ascii="宋体" w:hAnsi="宋体"/>
          <w:color w:val="000000"/>
          <w:spacing w:val="8"/>
          <w:szCs w:val="21"/>
        </w:rPr>
        <w:t xml:space="preserve">IEC 60068                </w:t>
      </w:r>
      <w:r>
        <w:fldChar w:fldCharType="begin"/>
      </w:r>
      <w:r>
        <w:instrText xml:space="preserve">HYPERLINK "http://www.chinastandard.com.cn/xxxs.asp?id=5953&amp;id0=02" \t "_blank"</w:instrText>
      </w:r>
      <w:r>
        <w:fldChar w:fldCharType="separate"/>
      </w:r>
      <w:r>
        <w:rPr>
          <w:rFonts w:hint="eastAsia" w:ascii="宋体" w:hAnsi="宋体"/>
          <w:color w:val="000000"/>
          <w:spacing w:val="8"/>
          <w:szCs w:val="21"/>
        </w:rPr>
        <w:t>基本环境试验规程</w:t>
      </w:r>
      <w:r>
        <w:fldChar w:fldCharType="end"/>
      </w:r>
    </w:p>
    <w:p w14:paraId="50CE1D60">
      <w:pPr>
        <w:keepNext w:val="0"/>
        <w:keepLines w:val="0"/>
        <w:pageBreakBefore w:val="0"/>
        <w:widowControl/>
        <w:numPr>
          <w:ilvl w:val="0"/>
          <w:numId w:val="0"/>
        </w:numPr>
        <w:tabs>
          <w:tab w:val="left" w:pos="360"/>
        </w:tabs>
        <w:kinsoku/>
        <w:wordWrap/>
        <w:overflowPunct/>
        <w:topLinePunct w:val="0"/>
        <w:autoSpaceDE/>
        <w:autoSpaceDN/>
        <w:bidi w:val="0"/>
        <w:adjustRightInd/>
        <w:snapToGrid/>
        <w:spacing w:before="0" w:after="0" w:line="360" w:lineRule="auto"/>
        <w:ind w:leftChars="0" w:firstLine="452" w:firstLineChars="200"/>
        <w:contextualSpacing/>
        <w:jc w:val="both"/>
        <w:textAlignment w:val="auto"/>
      </w:pPr>
      <w:r>
        <w:rPr>
          <w:rFonts w:hint="eastAsia" w:ascii="宋体" w:hAnsi="宋体"/>
          <w:color w:val="000000"/>
          <w:spacing w:val="8"/>
          <w:szCs w:val="21"/>
        </w:rPr>
        <w:t xml:space="preserve">IEC 61800-3              </w:t>
      </w:r>
      <w:r>
        <w:fldChar w:fldCharType="begin"/>
      </w:r>
      <w:r>
        <w:instrText xml:space="preserve">HYPERLINK "http://www.chinastandard.com.cn/xxxs.asp?id=2916&amp;id0=02" \t "_blank"</w:instrText>
      </w:r>
      <w:r>
        <w:fldChar w:fldCharType="separate"/>
      </w:r>
      <w:r>
        <w:rPr>
          <w:rFonts w:hint="eastAsia" w:ascii="宋体" w:hAnsi="宋体"/>
          <w:color w:val="000000"/>
          <w:spacing w:val="8"/>
          <w:szCs w:val="21"/>
        </w:rPr>
        <w:t xml:space="preserve">可调速电力传动系统包括特定试验电磁兼容(EMC) </w:t>
      </w:r>
      <w:r>
        <w:fldChar w:fldCharType="end"/>
      </w:r>
    </w:p>
    <w:p w14:paraId="3A6B2DD3">
      <w:pPr>
        <w:spacing w:line="360" w:lineRule="auto"/>
        <w:ind w:firstLine="420" w:firstLineChars="200"/>
        <w:rPr>
          <w:rFonts w:hint="eastAsia" w:ascii="Arial" w:hAnsi="Arial" w:cs="Arial"/>
          <w:color w:val="auto"/>
          <w:szCs w:val="21"/>
          <w:highlight w:val="none"/>
        </w:rPr>
      </w:pPr>
      <w:r>
        <w:rPr>
          <w:rFonts w:ascii="Arial" w:cs="Arial"/>
          <w:color w:val="auto"/>
          <w:szCs w:val="21"/>
          <w:highlight w:val="none"/>
        </w:rPr>
        <w:t>GB/T 2423.10-2019</w:t>
      </w:r>
      <w:r>
        <w:rPr>
          <w:rFonts w:hint="eastAsia" w:ascii="Arial" w:cs="Arial"/>
          <w:color w:val="auto"/>
          <w:szCs w:val="21"/>
          <w:highlight w:val="none"/>
        </w:rPr>
        <w:t xml:space="preserve">        </w:t>
      </w:r>
      <w:r>
        <w:rPr>
          <w:rFonts w:hint="eastAsia" w:ascii="Arial" w:cs="Arial"/>
          <w:color w:val="auto"/>
          <w:szCs w:val="21"/>
          <w:highlight w:val="none"/>
          <w:lang w:val="en-US" w:eastAsia="zh-CN"/>
        </w:rPr>
        <w:t xml:space="preserve">   </w:t>
      </w:r>
      <w:r>
        <w:rPr>
          <w:rFonts w:hint="eastAsia" w:ascii="Arial" w:cs="Arial"/>
          <w:color w:val="auto"/>
          <w:szCs w:val="21"/>
          <w:highlight w:val="none"/>
        </w:rPr>
        <w:t>环境试验第2部分：试验方法 试验Fc: 振动(正弦)</w:t>
      </w:r>
    </w:p>
    <w:p w14:paraId="6D3DA1A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GB/T 3797-2016    </w:t>
      </w:r>
      <w:r>
        <w:rPr>
          <w:rFonts w:ascii="Arial" w:hAnsi="Arial" w:cs="Arial"/>
          <w:color w:val="auto"/>
          <w:szCs w:val="21"/>
          <w:highlight w:val="none"/>
        </w:rPr>
        <w:tab/>
      </w:r>
      <w:r>
        <w:rPr>
          <w:rFonts w:ascii="Arial" w:hAnsi="Arial" w:cs="Arial"/>
          <w:color w:val="auto"/>
          <w:szCs w:val="21"/>
          <w:highlight w:val="none"/>
        </w:rPr>
        <w:tab/>
      </w:r>
      <w:r>
        <w:rPr>
          <w:rFonts w:ascii="Arial" w:hAnsi="Arial" w:cs="Arial"/>
          <w:color w:val="auto"/>
          <w:szCs w:val="21"/>
          <w:highlight w:val="none"/>
        </w:rPr>
        <w:t xml:space="preserve">  </w:t>
      </w:r>
      <w:r>
        <w:rPr>
          <w:rFonts w:hint="eastAsia" w:ascii="Arial" w:hAnsi="Arial" w:cs="Arial"/>
          <w:color w:val="auto"/>
          <w:szCs w:val="21"/>
          <w:highlight w:val="none"/>
          <w:lang w:val="en-US" w:eastAsia="zh-CN"/>
        </w:rPr>
        <w:t xml:space="preserve">   </w:t>
      </w:r>
      <w:r>
        <w:rPr>
          <w:rFonts w:hint="eastAsia" w:ascii="Arial" w:hAnsi="Arial" w:cs="Arial"/>
          <w:color w:val="auto"/>
          <w:szCs w:val="21"/>
          <w:highlight w:val="none"/>
        </w:rPr>
        <w:t>电气控制设备</w:t>
      </w:r>
    </w:p>
    <w:p w14:paraId="318DC229">
      <w:pPr>
        <w:spacing w:line="360" w:lineRule="auto"/>
        <w:ind w:firstLine="420" w:firstLineChars="200"/>
        <w:rPr>
          <w:rFonts w:ascii="Arial" w:hAnsi="Arial" w:cs="Arial"/>
          <w:color w:val="000000"/>
          <w:szCs w:val="21"/>
        </w:rPr>
      </w:pPr>
      <w:r>
        <w:rPr>
          <w:rFonts w:ascii="Arial" w:hAnsi="Arial" w:cs="Arial"/>
          <w:color w:val="000000"/>
          <w:szCs w:val="21"/>
        </w:rPr>
        <w:t>GB 3859.1-</w:t>
      </w:r>
      <w:r>
        <w:rPr>
          <w:rFonts w:hint="eastAsia" w:ascii="Arial" w:hAnsi="Arial" w:cs="Arial"/>
          <w:color w:val="000000"/>
          <w:szCs w:val="21"/>
          <w:lang w:val="en-US" w:eastAsia="zh-CN"/>
        </w:rPr>
        <w:t>2021</w:t>
      </w:r>
      <w:r>
        <w:rPr>
          <w:rFonts w:ascii="Arial" w:hAnsi="Arial" w:cs="Arial"/>
          <w:color w:val="000000"/>
          <w:szCs w:val="21"/>
        </w:rPr>
        <w:t xml:space="preserve">  </w:t>
      </w:r>
      <w:r>
        <w:rPr>
          <w:rFonts w:ascii="Arial" w:hAnsi="Arial" w:cs="Arial"/>
          <w:color w:val="000000"/>
          <w:szCs w:val="21"/>
        </w:rPr>
        <w:tab/>
      </w:r>
      <w:r>
        <w:rPr>
          <w:rFonts w:ascii="Arial" w:hAnsi="Arial" w:cs="Arial"/>
          <w:color w:val="000000"/>
          <w:szCs w:val="21"/>
        </w:rPr>
        <w:tab/>
      </w:r>
      <w:r>
        <w:rPr>
          <w:rFonts w:ascii="Arial" w:hAnsi="Arial" w:cs="Arial"/>
          <w:color w:val="000000"/>
          <w:szCs w:val="21"/>
        </w:rPr>
        <w:t xml:space="preserve"> </w:t>
      </w:r>
      <w:r>
        <w:rPr>
          <w:rFonts w:hint="eastAsia" w:ascii="Arial" w:hAnsi="Arial" w:cs="Arial"/>
          <w:color w:val="000000"/>
          <w:szCs w:val="21"/>
          <w:lang w:val="en-US" w:eastAsia="zh-CN"/>
        </w:rPr>
        <w:t xml:space="preserve">    </w:t>
      </w:r>
      <w:r>
        <w:rPr>
          <w:rFonts w:ascii="Arial" w:cs="Arial"/>
          <w:color w:val="000000"/>
          <w:szCs w:val="21"/>
        </w:rPr>
        <w:t>半导体电力变流器</w:t>
      </w:r>
      <w:r>
        <w:rPr>
          <w:rFonts w:ascii="Arial" w:hAnsi="Arial" w:cs="Arial"/>
          <w:color w:val="000000"/>
          <w:szCs w:val="21"/>
        </w:rPr>
        <w:t xml:space="preserve">  </w:t>
      </w:r>
      <w:r>
        <w:rPr>
          <w:rFonts w:ascii="Arial" w:cs="Arial"/>
          <w:color w:val="000000"/>
          <w:szCs w:val="21"/>
        </w:rPr>
        <w:t>基本要求的规定</w:t>
      </w:r>
    </w:p>
    <w:p w14:paraId="701DDBD6">
      <w:pPr>
        <w:spacing w:line="360" w:lineRule="auto"/>
        <w:ind w:firstLine="420" w:firstLineChars="200"/>
        <w:rPr>
          <w:rFonts w:ascii="Arial" w:hAnsi="Arial" w:cs="Arial"/>
          <w:color w:val="auto"/>
          <w:szCs w:val="21"/>
        </w:rPr>
      </w:pPr>
      <w:r>
        <w:rPr>
          <w:rFonts w:ascii="Arial" w:hAnsi="Arial" w:cs="Arial"/>
          <w:color w:val="auto"/>
          <w:szCs w:val="21"/>
        </w:rPr>
        <w:t>GB 3859.3-</w:t>
      </w:r>
      <w:r>
        <w:rPr>
          <w:rFonts w:hint="eastAsia" w:ascii="Arial" w:hAnsi="Arial" w:cs="Arial"/>
          <w:color w:val="auto"/>
          <w:szCs w:val="21"/>
          <w:lang w:val="en-US" w:eastAsia="zh-CN"/>
        </w:rPr>
        <w:t>2013</w:t>
      </w:r>
      <w:r>
        <w:rPr>
          <w:rFonts w:ascii="Arial" w:hAnsi="Arial" w:cs="Arial"/>
          <w:color w:val="auto"/>
          <w:szCs w:val="21"/>
        </w:rPr>
        <w:t xml:space="preserve"> </w:t>
      </w:r>
      <w:r>
        <w:rPr>
          <w:rFonts w:ascii="Arial" w:hAnsi="Arial" w:cs="Arial"/>
          <w:color w:val="auto"/>
          <w:szCs w:val="21"/>
        </w:rPr>
        <w:tab/>
      </w:r>
      <w:r>
        <w:rPr>
          <w:rFonts w:ascii="Arial" w:hAnsi="Arial" w:cs="Arial"/>
          <w:color w:val="auto"/>
          <w:szCs w:val="21"/>
        </w:rPr>
        <w:tab/>
      </w:r>
      <w:r>
        <w:rPr>
          <w:rFonts w:ascii="Arial" w:hAnsi="Arial" w:cs="Arial"/>
          <w:color w:val="auto"/>
          <w:szCs w:val="21"/>
        </w:rPr>
        <w:t xml:space="preserve">  </w:t>
      </w:r>
      <w:r>
        <w:rPr>
          <w:rFonts w:hint="eastAsia" w:ascii="Arial" w:hAnsi="Arial" w:cs="Arial"/>
          <w:color w:val="auto"/>
          <w:szCs w:val="21"/>
          <w:lang w:val="en-US" w:eastAsia="zh-CN"/>
        </w:rPr>
        <w:t xml:space="preserve">       </w:t>
      </w:r>
      <w:r>
        <w:rPr>
          <w:rFonts w:ascii="Arial" w:cs="Arial"/>
          <w:color w:val="auto"/>
          <w:szCs w:val="21"/>
        </w:rPr>
        <w:t>半导体电力变流器</w:t>
      </w:r>
      <w:r>
        <w:rPr>
          <w:rFonts w:ascii="Arial" w:hAnsi="Arial" w:cs="Arial"/>
          <w:color w:val="auto"/>
          <w:szCs w:val="21"/>
        </w:rPr>
        <w:t xml:space="preserve">  </w:t>
      </w:r>
      <w:r>
        <w:rPr>
          <w:rFonts w:ascii="Arial" w:cs="Arial"/>
          <w:color w:val="auto"/>
          <w:szCs w:val="21"/>
        </w:rPr>
        <w:t>变压器和电抗器</w:t>
      </w:r>
    </w:p>
    <w:p w14:paraId="4C16A9D8">
      <w:pPr>
        <w:spacing w:line="360" w:lineRule="auto"/>
        <w:ind w:firstLine="420" w:firstLineChars="200"/>
        <w:rPr>
          <w:rFonts w:ascii="Arial" w:hAnsi="Arial" w:cs="Arial"/>
          <w:color w:val="auto"/>
          <w:szCs w:val="21"/>
        </w:rPr>
      </w:pPr>
      <w:r>
        <w:rPr>
          <w:rFonts w:ascii="Arial" w:hAnsi="Arial" w:cs="Arial"/>
          <w:color w:val="auto"/>
          <w:szCs w:val="21"/>
        </w:rPr>
        <w:t>GB 4208-</w:t>
      </w:r>
      <w:r>
        <w:rPr>
          <w:rFonts w:hint="eastAsia" w:ascii="Arial" w:hAnsi="Arial" w:cs="Arial"/>
          <w:color w:val="auto"/>
          <w:szCs w:val="21"/>
          <w:lang w:val="en-US" w:eastAsia="zh-CN"/>
        </w:rPr>
        <w:t>2017</w:t>
      </w:r>
      <w:r>
        <w:rPr>
          <w:rFonts w:ascii="Arial" w:hAnsi="Arial" w:cs="Arial"/>
          <w:color w:val="auto"/>
          <w:szCs w:val="21"/>
        </w:rPr>
        <w:t xml:space="preserve">     </w:t>
      </w:r>
      <w:r>
        <w:rPr>
          <w:rFonts w:ascii="Arial" w:hAnsi="Arial" w:cs="Arial"/>
          <w:color w:val="auto"/>
          <w:szCs w:val="21"/>
        </w:rPr>
        <w:tab/>
      </w:r>
      <w:r>
        <w:rPr>
          <w:rFonts w:ascii="Arial" w:hAnsi="Arial" w:cs="Arial"/>
          <w:color w:val="auto"/>
          <w:szCs w:val="21"/>
        </w:rPr>
        <w:tab/>
      </w:r>
      <w:r>
        <w:rPr>
          <w:rFonts w:ascii="Arial" w:hAnsi="Arial" w:cs="Arial"/>
          <w:color w:val="auto"/>
          <w:szCs w:val="21"/>
        </w:rPr>
        <w:t xml:space="preserve">  </w:t>
      </w:r>
      <w:r>
        <w:rPr>
          <w:rFonts w:hint="eastAsia" w:ascii="Arial" w:hAnsi="Arial" w:cs="Arial"/>
          <w:color w:val="auto"/>
          <w:szCs w:val="21"/>
          <w:lang w:val="en-US" w:eastAsia="zh-CN"/>
        </w:rPr>
        <w:t xml:space="preserve">   </w:t>
      </w:r>
      <w:r>
        <w:rPr>
          <w:rFonts w:ascii="Arial" w:cs="Arial"/>
          <w:color w:val="auto"/>
          <w:szCs w:val="21"/>
        </w:rPr>
        <w:t>外壳防护等级的分类</w:t>
      </w:r>
    </w:p>
    <w:p w14:paraId="1BE4AAAB">
      <w:pPr>
        <w:spacing w:line="360" w:lineRule="auto"/>
        <w:ind w:firstLine="420" w:firstLineChars="200"/>
        <w:rPr>
          <w:rFonts w:ascii="Arial" w:hAnsi="Arial" w:cs="Arial"/>
          <w:color w:val="auto"/>
          <w:szCs w:val="21"/>
        </w:rPr>
      </w:pPr>
      <w:r>
        <w:rPr>
          <w:rFonts w:ascii="Arial" w:hAnsi="Arial" w:cs="Arial"/>
          <w:color w:val="auto"/>
          <w:szCs w:val="21"/>
        </w:rPr>
        <w:t xml:space="preserve">GB </w:t>
      </w:r>
      <w:r>
        <w:rPr>
          <w:rFonts w:hint="eastAsia" w:ascii="Arial" w:hAnsi="Arial" w:cs="Arial"/>
          <w:color w:val="auto"/>
          <w:szCs w:val="21"/>
          <w:lang w:val="en-US" w:eastAsia="zh-CN"/>
        </w:rPr>
        <w:t>3859.4</w:t>
      </w:r>
      <w:r>
        <w:rPr>
          <w:rFonts w:ascii="Arial" w:hAnsi="Arial" w:cs="Arial"/>
          <w:color w:val="auto"/>
          <w:szCs w:val="21"/>
        </w:rPr>
        <w:t>-</w:t>
      </w:r>
      <w:r>
        <w:rPr>
          <w:rFonts w:hint="eastAsia" w:ascii="Arial" w:hAnsi="Arial" w:cs="Arial"/>
          <w:color w:val="auto"/>
          <w:szCs w:val="21"/>
          <w:lang w:val="en-US" w:eastAsia="zh-CN"/>
        </w:rPr>
        <w:t>2013</w:t>
      </w:r>
      <w:r>
        <w:rPr>
          <w:rFonts w:ascii="Arial" w:hAnsi="Arial" w:cs="Arial"/>
          <w:color w:val="auto"/>
          <w:szCs w:val="21"/>
        </w:rPr>
        <w:t xml:space="preserve">     </w:t>
      </w:r>
      <w:r>
        <w:rPr>
          <w:rFonts w:ascii="Arial" w:hAnsi="Arial" w:cs="Arial"/>
          <w:color w:val="auto"/>
          <w:szCs w:val="21"/>
        </w:rPr>
        <w:tab/>
      </w:r>
      <w:r>
        <w:rPr>
          <w:rFonts w:ascii="Arial" w:hAnsi="Arial" w:cs="Arial"/>
          <w:color w:val="auto"/>
          <w:szCs w:val="21"/>
        </w:rPr>
        <w:t xml:space="preserve">  </w:t>
      </w:r>
      <w:r>
        <w:rPr>
          <w:rFonts w:hint="eastAsia" w:ascii="Arial" w:hAnsi="Arial" w:cs="Arial"/>
          <w:color w:val="auto"/>
          <w:szCs w:val="21"/>
        </w:rPr>
        <w:t xml:space="preserve">  </w:t>
      </w:r>
      <w:r>
        <w:rPr>
          <w:rFonts w:ascii="Arial" w:hAnsi="Arial" w:cs="Arial"/>
          <w:color w:val="auto"/>
          <w:szCs w:val="21"/>
        </w:rPr>
        <w:t xml:space="preserve"> </w:t>
      </w:r>
      <w:r>
        <w:rPr>
          <w:rFonts w:hint="eastAsia" w:ascii="Arial" w:hAnsi="Arial" w:cs="Arial"/>
          <w:color w:val="auto"/>
          <w:szCs w:val="21"/>
        </w:rPr>
        <w:t xml:space="preserve"> </w:t>
      </w:r>
      <w:r>
        <w:rPr>
          <w:rFonts w:hint="eastAsia" w:ascii="Arial" w:hAnsi="Arial" w:cs="Arial"/>
          <w:color w:val="auto"/>
          <w:szCs w:val="21"/>
          <w:lang w:val="en-US" w:eastAsia="zh-CN"/>
        </w:rPr>
        <w:t xml:space="preserve">   </w:t>
      </w:r>
      <w:r>
        <w:rPr>
          <w:rFonts w:ascii="Arial" w:cs="Arial"/>
          <w:color w:val="auto"/>
          <w:szCs w:val="21"/>
        </w:rPr>
        <w:t>半导体自换相变流器</w:t>
      </w:r>
    </w:p>
    <w:p w14:paraId="7AAB3362">
      <w:pPr>
        <w:spacing w:line="360" w:lineRule="auto"/>
        <w:ind w:firstLine="420" w:firstLineChars="200"/>
        <w:rPr>
          <w:rFonts w:ascii="Arial" w:hAnsi="Arial" w:cs="Arial"/>
          <w:color w:val="auto"/>
          <w:szCs w:val="21"/>
        </w:rPr>
      </w:pPr>
      <w:r>
        <w:rPr>
          <w:rFonts w:ascii="Arial" w:hAnsi="Arial" w:cs="Arial"/>
          <w:color w:val="auto"/>
          <w:szCs w:val="21"/>
        </w:rPr>
        <w:t>GB 10233-</w:t>
      </w:r>
      <w:r>
        <w:rPr>
          <w:rFonts w:hint="eastAsia" w:ascii="Arial" w:hAnsi="Arial" w:cs="Arial"/>
          <w:color w:val="auto"/>
          <w:szCs w:val="21"/>
          <w:lang w:val="en-US" w:eastAsia="zh-CN"/>
        </w:rPr>
        <w:t>2005</w:t>
      </w:r>
      <w:r>
        <w:rPr>
          <w:rFonts w:ascii="Arial" w:hAnsi="Arial" w:cs="Arial"/>
          <w:color w:val="auto"/>
          <w:szCs w:val="21"/>
        </w:rPr>
        <w:t xml:space="preserve">    </w:t>
      </w:r>
      <w:r>
        <w:rPr>
          <w:rFonts w:ascii="Arial" w:hAnsi="Arial" w:cs="Arial"/>
          <w:color w:val="auto"/>
          <w:szCs w:val="21"/>
        </w:rPr>
        <w:tab/>
      </w:r>
      <w:r>
        <w:rPr>
          <w:rFonts w:ascii="Arial" w:hAnsi="Arial" w:cs="Arial"/>
          <w:color w:val="auto"/>
          <w:szCs w:val="21"/>
        </w:rPr>
        <w:tab/>
      </w:r>
      <w:r>
        <w:rPr>
          <w:rFonts w:hint="eastAsia" w:ascii="Arial" w:hAnsi="Arial" w:cs="Arial"/>
          <w:color w:val="auto"/>
          <w:szCs w:val="21"/>
        </w:rPr>
        <w:t xml:space="preserve">  </w:t>
      </w:r>
      <w:r>
        <w:rPr>
          <w:rFonts w:hint="eastAsia" w:ascii="Arial" w:hAnsi="Arial" w:cs="Arial"/>
          <w:color w:val="auto"/>
          <w:szCs w:val="21"/>
          <w:lang w:val="en-US" w:eastAsia="zh-CN"/>
        </w:rPr>
        <w:t xml:space="preserve">   </w:t>
      </w:r>
      <w:r>
        <w:rPr>
          <w:rFonts w:ascii="Arial" w:cs="Arial"/>
          <w:color w:val="auto"/>
          <w:szCs w:val="21"/>
        </w:rPr>
        <w:t>电气传动控制设备基本试验方法</w:t>
      </w:r>
    </w:p>
    <w:p w14:paraId="004C81A5">
      <w:pPr>
        <w:spacing w:line="360" w:lineRule="auto"/>
        <w:ind w:firstLine="420" w:firstLineChars="200"/>
        <w:rPr>
          <w:rFonts w:ascii="Arial" w:hAnsi="Arial" w:cs="Arial"/>
          <w:color w:val="auto"/>
          <w:szCs w:val="21"/>
        </w:rPr>
      </w:pPr>
      <w:r>
        <w:rPr>
          <w:rFonts w:ascii="Arial" w:hAnsi="Arial" w:cs="Arial"/>
          <w:color w:val="auto"/>
          <w:szCs w:val="21"/>
        </w:rPr>
        <w:t>GB</w:t>
      </w:r>
      <w:r>
        <w:rPr>
          <w:rFonts w:hint="eastAsia" w:ascii="Arial" w:hAnsi="Arial" w:cs="Arial"/>
          <w:color w:val="auto"/>
          <w:szCs w:val="21"/>
          <w:lang w:val="en-US" w:eastAsia="zh-CN"/>
        </w:rPr>
        <w:t xml:space="preserve"> </w:t>
      </w:r>
      <w:r>
        <w:rPr>
          <w:rFonts w:ascii="Segoe UI" w:hAnsi="Segoe UI" w:eastAsia="Segoe UI" w:cs="Segoe UI"/>
          <w:i w:val="0"/>
          <w:iCs w:val="0"/>
          <w:caps w:val="0"/>
          <w:color w:val="auto"/>
          <w:spacing w:val="0"/>
          <w:sz w:val="22"/>
          <w:szCs w:val="22"/>
          <w:shd w:val="clear" w:color="auto" w:fill="FFFFFF"/>
        </w:rPr>
        <w:t>12668.1-2002</w:t>
      </w:r>
      <w:r>
        <w:rPr>
          <w:rFonts w:ascii="Arial" w:hAnsi="Arial" w:cs="Arial"/>
          <w:color w:val="auto"/>
          <w:szCs w:val="21"/>
        </w:rPr>
        <w:t xml:space="preserve">   </w:t>
      </w:r>
      <w:r>
        <w:rPr>
          <w:rFonts w:ascii="Arial" w:hAnsi="Arial" w:cs="Arial"/>
          <w:color w:val="auto"/>
          <w:szCs w:val="21"/>
        </w:rPr>
        <w:tab/>
      </w:r>
      <w:r>
        <w:rPr>
          <w:rFonts w:ascii="Arial" w:hAnsi="Arial" w:cs="Arial"/>
          <w:color w:val="auto"/>
          <w:szCs w:val="21"/>
        </w:rPr>
        <w:tab/>
      </w:r>
      <w:r>
        <w:rPr>
          <w:rFonts w:ascii="Arial" w:hAnsi="Arial" w:cs="Arial"/>
          <w:color w:val="auto"/>
          <w:szCs w:val="21"/>
        </w:rPr>
        <w:t xml:space="preserve"> </w:t>
      </w:r>
      <w:r>
        <w:rPr>
          <w:rFonts w:hint="eastAsia" w:ascii="Arial" w:hAnsi="Arial" w:cs="Arial"/>
          <w:color w:val="auto"/>
          <w:szCs w:val="21"/>
        </w:rPr>
        <w:t xml:space="preserve"> </w:t>
      </w:r>
      <w:r>
        <w:rPr>
          <w:rFonts w:hint="eastAsia" w:ascii="Arial" w:hAnsi="Arial" w:cs="Arial"/>
          <w:color w:val="auto"/>
          <w:szCs w:val="21"/>
          <w:lang w:val="en-US" w:eastAsia="zh-CN"/>
        </w:rPr>
        <w:t xml:space="preserve">   </w:t>
      </w:r>
      <w:r>
        <w:rPr>
          <w:rFonts w:ascii="Arial" w:cs="Arial"/>
          <w:color w:val="auto"/>
          <w:szCs w:val="21"/>
        </w:rPr>
        <w:t>交流电动机半导体变频调速装置总技术条件</w:t>
      </w:r>
    </w:p>
    <w:p w14:paraId="6504A1C1">
      <w:pPr>
        <w:spacing w:line="360" w:lineRule="auto"/>
        <w:ind w:firstLine="420" w:firstLineChars="200"/>
        <w:rPr>
          <w:rFonts w:ascii="Arial" w:hAnsi="Arial" w:cs="Arial"/>
          <w:color w:val="auto"/>
          <w:szCs w:val="21"/>
        </w:rPr>
      </w:pPr>
      <w:r>
        <w:rPr>
          <w:rFonts w:ascii="Arial" w:hAnsi="Arial" w:cs="Arial"/>
          <w:color w:val="auto"/>
          <w:szCs w:val="21"/>
        </w:rPr>
        <w:t>GB/T15139-94</w:t>
      </w:r>
      <w:r>
        <w:rPr>
          <w:rFonts w:ascii="Arial" w:hAnsi="Arial" w:cs="Arial"/>
          <w:color w:val="auto"/>
          <w:szCs w:val="21"/>
        </w:rPr>
        <w:tab/>
      </w:r>
      <w:r>
        <w:rPr>
          <w:rFonts w:ascii="Arial" w:hAnsi="Arial" w:cs="Arial"/>
          <w:color w:val="auto"/>
          <w:szCs w:val="21"/>
        </w:rPr>
        <w:tab/>
      </w:r>
      <w:r>
        <w:rPr>
          <w:rFonts w:ascii="Arial" w:hAnsi="Arial" w:cs="Arial"/>
          <w:color w:val="auto"/>
          <w:szCs w:val="21"/>
        </w:rPr>
        <w:t xml:space="preserve">    </w:t>
      </w:r>
      <w:r>
        <w:rPr>
          <w:rFonts w:hint="eastAsia" w:ascii="Arial" w:hAnsi="Arial" w:cs="Arial"/>
          <w:color w:val="auto"/>
          <w:szCs w:val="21"/>
          <w:lang w:val="en-US" w:eastAsia="zh-CN"/>
        </w:rPr>
        <w:t xml:space="preserve">     </w:t>
      </w:r>
      <w:r>
        <w:rPr>
          <w:rFonts w:ascii="Arial" w:cs="Arial"/>
          <w:color w:val="auto"/>
          <w:szCs w:val="21"/>
        </w:rPr>
        <w:t>电工设备结构总技术条件</w:t>
      </w:r>
    </w:p>
    <w:p w14:paraId="4277A490">
      <w:pPr>
        <w:spacing w:line="360" w:lineRule="auto"/>
        <w:ind w:firstLine="420" w:firstLineChars="200"/>
        <w:rPr>
          <w:rFonts w:ascii="Arial" w:hAnsi="Arial" w:cs="Arial"/>
          <w:color w:val="auto"/>
          <w:szCs w:val="21"/>
        </w:rPr>
      </w:pPr>
      <w:r>
        <w:rPr>
          <w:rFonts w:ascii="Arial" w:hAnsi="Arial" w:cs="Arial"/>
          <w:color w:val="auto"/>
          <w:szCs w:val="21"/>
        </w:rPr>
        <w:t>GB/T13422-</w:t>
      </w:r>
      <w:r>
        <w:rPr>
          <w:rFonts w:hint="eastAsia" w:ascii="Arial" w:hAnsi="Arial" w:cs="Arial"/>
          <w:color w:val="auto"/>
          <w:szCs w:val="21"/>
          <w:lang w:val="en-US" w:eastAsia="zh-CN"/>
        </w:rPr>
        <w:t>2013</w:t>
      </w:r>
      <w:r>
        <w:rPr>
          <w:rFonts w:ascii="Arial" w:hAnsi="Arial" w:cs="Arial"/>
          <w:color w:val="auto"/>
          <w:szCs w:val="21"/>
        </w:rPr>
        <w:t xml:space="preserve">   </w:t>
      </w:r>
      <w:r>
        <w:rPr>
          <w:rFonts w:ascii="Arial" w:hAnsi="Arial" w:cs="Arial"/>
          <w:color w:val="auto"/>
          <w:szCs w:val="21"/>
        </w:rPr>
        <w:tab/>
      </w:r>
      <w:r>
        <w:rPr>
          <w:rFonts w:ascii="Arial" w:hAnsi="Arial" w:cs="Arial"/>
          <w:color w:val="auto"/>
          <w:szCs w:val="21"/>
        </w:rPr>
        <w:tab/>
      </w:r>
      <w:r>
        <w:rPr>
          <w:rFonts w:hint="eastAsia" w:ascii="Arial" w:hAnsi="Arial" w:cs="Arial"/>
          <w:color w:val="auto"/>
          <w:szCs w:val="21"/>
        </w:rPr>
        <w:t xml:space="preserve"> </w:t>
      </w:r>
      <w:r>
        <w:rPr>
          <w:rFonts w:hint="eastAsia" w:ascii="Arial" w:hAnsi="Arial" w:cs="Arial"/>
          <w:color w:val="auto"/>
          <w:szCs w:val="21"/>
          <w:lang w:val="en-US" w:eastAsia="zh-CN"/>
        </w:rPr>
        <w:t xml:space="preserve">    </w:t>
      </w:r>
      <w:r>
        <w:rPr>
          <w:rFonts w:ascii="Arial" w:cs="Arial"/>
          <w:color w:val="auto"/>
          <w:szCs w:val="21"/>
        </w:rPr>
        <w:t>半导体电力变流器电气试验方法</w:t>
      </w:r>
    </w:p>
    <w:p w14:paraId="255AD99A">
      <w:pPr>
        <w:rPr>
          <w:rFonts w:hint="eastAsia"/>
          <w:color w:val="auto"/>
          <w:szCs w:val="21"/>
        </w:rPr>
      </w:pPr>
      <w:bookmarkStart w:id="14" w:name="_Toc264037159"/>
    </w:p>
    <w:p w14:paraId="55A46601">
      <w:pPr>
        <w:rPr>
          <w:rFonts w:hint="eastAsia"/>
          <w:szCs w:val="21"/>
        </w:rPr>
      </w:pPr>
      <w:r>
        <w:rPr>
          <w:rFonts w:hint="eastAsia"/>
          <w:szCs w:val="21"/>
        </w:rPr>
        <w:t>2.2  环境条件</w:t>
      </w:r>
      <w:bookmarkStart w:id="15" w:name="_Toc515705601"/>
    </w:p>
    <w:p w14:paraId="524571D8">
      <w:pPr>
        <w:pStyle w:val="27"/>
        <w:tabs>
          <w:tab w:val="left" w:pos="0"/>
        </w:tabs>
        <w:ind w:left="0" w:leftChars="0" w:right="-79" w:firstLine="735" w:firstLineChars="350"/>
        <w:jc w:val="left"/>
        <w:rPr>
          <w:rFonts w:hint="eastAsia"/>
          <w:sz w:val="21"/>
          <w:szCs w:val="21"/>
        </w:rPr>
      </w:pPr>
      <w:r>
        <w:rPr>
          <w:rFonts w:hint="eastAsia"/>
          <w:sz w:val="21"/>
          <w:szCs w:val="21"/>
        </w:rPr>
        <w:t>2.2.1气象资料</w:t>
      </w:r>
      <w:bookmarkEnd w:id="15"/>
    </w:p>
    <w:p w14:paraId="6DAB0293">
      <w:pPr>
        <w:tabs>
          <w:tab w:val="left" w:pos="525"/>
        </w:tabs>
        <w:spacing w:line="360" w:lineRule="auto"/>
        <w:jc w:val="center"/>
        <w:rPr>
          <w:rFonts w:ascii="宋体" w:hAnsi="宋体"/>
          <w:sz w:val="21"/>
          <w:szCs w:val="21"/>
        </w:rPr>
      </w:pPr>
      <w:r>
        <w:rPr>
          <w:rFonts w:hint="eastAsia" w:ascii="宋体" w:hAnsi="宋体"/>
          <w:sz w:val="21"/>
          <w:szCs w:val="21"/>
        </w:rPr>
        <w:t>新安县气象站气象特征值表</w:t>
      </w:r>
    </w:p>
    <w:tbl>
      <w:tblPr>
        <w:tblStyle w:val="59"/>
        <w:tblW w:w="91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629"/>
        <w:gridCol w:w="900"/>
        <w:gridCol w:w="1260"/>
        <w:gridCol w:w="1622"/>
        <w:gridCol w:w="1622"/>
      </w:tblGrid>
      <w:tr w14:paraId="711C3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80" w:type="dxa"/>
            <w:tcBorders>
              <w:top w:val="single" w:color="auto" w:sz="4" w:space="0"/>
            </w:tcBorders>
            <w:noWrap w:val="0"/>
            <w:vAlign w:val="center"/>
          </w:tcPr>
          <w:p w14:paraId="35F27A9A">
            <w:pPr>
              <w:tabs>
                <w:tab w:val="left" w:pos="525"/>
              </w:tabs>
              <w:spacing w:line="360" w:lineRule="auto"/>
              <w:rPr>
                <w:rFonts w:ascii="宋体" w:hAnsi="宋体"/>
                <w:sz w:val="21"/>
                <w:szCs w:val="21"/>
              </w:rPr>
            </w:pPr>
            <w:r>
              <w:rPr>
                <w:rFonts w:hint="eastAsia" w:ascii="宋体" w:hAnsi="宋体"/>
                <w:sz w:val="21"/>
                <w:szCs w:val="21"/>
              </w:rPr>
              <w:t>序号</w:t>
            </w:r>
          </w:p>
        </w:tc>
        <w:tc>
          <w:tcPr>
            <w:tcW w:w="2629" w:type="dxa"/>
            <w:noWrap w:val="0"/>
            <w:vAlign w:val="center"/>
          </w:tcPr>
          <w:p w14:paraId="4E048985">
            <w:pPr>
              <w:tabs>
                <w:tab w:val="left" w:pos="525"/>
              </w:tabs>
              <w:spacing w:line="360" w:lineRule="auto"/>
              <w:ind w:firstLine="420" w:firstLineChars="200"/>
              <w:rPr>
                <w:rFonts w:ascii="宋体" w:hAnsi="宋体"/>
                <w:sz w:val="21"/>
                <w:szCs w:val="21"/>
              </w:rPr>
            </w:pPr>
            <w:r>
              <w:rPr>
                <w:rFonts w:hint="eastAsia" w:ascii="宋体" w:hAnsi="宋体"/>
                <w:sz w:val="21"/>
                <w:szCs w:val="21"/>
              </w:rPr>
              <w:t>项    目</w:t>
            </w:r>
          </w:p>
        </w:tc>
        <w:tc>
          <w:tcPr>
            <w:tcW w:w="900" w:type="dxa"/>
            <w:noWrap w:val="0"/>
            <w:vAlign w:val="center"/>
          </w:tcPr>
          <w:p w14:paraId="3ED9CF7A">
            <w:pPr>
              <w:tabs>
                <w:tab w:val="left" w:pos="525"/>
              </w:tabs>
              <w:spacing w:line="360" w:lineRule="auto"/>
              <w:rPr>
                <w:rFonts w:ascii="宋体" w:hAnsi="宋体"/>
                <w:sz w:val="21"/>
                <w:szCs w:val="21"/>
              </w:rPr>
            </w:pPr>
            <w:r>
              <w:rPr>
                <w:rFonts w:hint="eastAsia" w:ascii="宋体" w:hAnsi="宋体"/>
                <w:sz w:val="21"/>
                <w:szCs w:val="21"/>
              </w:rPr>
              <w:t>单位</w:t>
            </w:r>
          </w:p>
        </w:tc>
        <w:tc>
          <w:tcPr>
            <w:tcW w:w="1260" w:type="dxa"/>
            <w:noWrap w:val="0"/>
            <w:vAlign w:val="center"/>
          </w:tcPr>
          <w:p w14:paraId="5F02BB23">
            <w:pPr>
              <w:tabs>
                <w:tab w:val="left" w:pos="525"/>
              </w:tabs>
              <w:spacing w:line="360" w:lineRule="auto"/>
              <w:rPr>
                <w:rFonts w:ascii="宋体" w:hAnsi="宋体"/>
                <w:sz w:val="21"/>
                <w:szCs w:val="21"/>
              </w:rPr>
            </w:pPr>
            <w:r>
              <w:rPr>
                <w:rFonts w:hint="eastAsia" w:ascii="宋体" w:hAnsi="宋体"/>
                <w:sz w:val="21"/>
                <w:szCs w:val="21"/>
              </w:rPr>
              <w:t>特征值</w:t>
            </w:r>
          </w:p>
        </w:tc>
        <w:tc>
          <w:tcPr>
            <w:tcW w:w="1622" w:type="dxa"/>
            <w:noWrap w:val="0"/>
            <w:vAlign w:val="top"/>
          </w:tcPr>
          <w:p w14:paraId="46C6DFF9">
            <w:pPr>
              <w:tabs>
                <w:tab w:val="left" w:pos="525"/>
              </w:tabs>
              <w:spacing w:line="360" w:lineRule="auto"/>
              <w:rPr>
                <w:rFonts w:ascii="宋体" w:hAnsi="宋体"/>
                <w:sz w:val="21"/>
                <w:szCs w:val="21"/>
              </w:rPr>
            </w:pPr>
            <w:r>
              <w:rPr>
                <w:rFonts w:hint="eastAsia" w:ascii="宋体" w:hAnsi="宋体"/>
                <w:sz w:val="21"/>
                <w:szCs w:val="21"/>
              </w:rPr>
              <w:t>出 现 时 间</w:t>
            </w:r>
          </w:p>
        </w:tc>
        <w:tc>
          <w:tcPr>
            <w:tcW w:w="1622" w:type="dxa"/>
            <w:noWrap w:val="0"/>
            <w:vAlign w:val="center"/>
          </w:tcPr>
          <w:p w14:paraId="0D7E599E">
            <w:pPr>
              <w:tabs>
                <w:tab w:val="left" w:pos="525"/>
              </w:tabs>
              <w:spacing w:line="360" w:lineRule="auto"/>
              <w:rPr>
                <w:rFonts w:ascii="宋体" w:hAnsi="宋体"/>
                <w:sz w:val="21"/>
                <w:szCs w:val="21"/>
              </w:rPr>
            </w:pPr>
            <w:r>
              <w:rPr>
                <w:rFonts w:ascii="宋体" w:hAnsi="宋体"/>
                <w:sz w:val="21"/>
                <w:szCs w:val="21"/>
              </w:rPr>
              <w:t>统计年限</w:t>
            </w:r>
          </w:p>
        </w:tc>
      </w:tr>
      <w:tr w14:paraId="1887D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EE6A07D">
            <w:pPr>
              <w:tabs>
                <w:tab w:val="left" w:pos="525"/>
              </w:tabs>
              <w:spacing w:line="360" w:lineRule="auto"/>
              <w:ind w:firstLine="420" w:firstLineChars="200"/>
              <w:rPr>
                <w:rFonts w:ascii="宋体" w:hAnsi="宋体"/>
                <w:sz w:val="21"/>
                <w:szCs w:val="21"/>
              </w:rPr>
            </w:pPr>
            <w:r>
              <w:rPr>
                <w:rFonts w:hint="eastAsia" w:ascii="宋体" w:hAnsi="宋体"/>
                <w:sz w:val="21"/>
                <w:szCs w:val="21"/>
              </w:rPr>
              <w:t>1</w:t>
            </w:r>
          </w:p>
        </w:tc>
        <w:tc>
          <w:tcPr>
            <w:tcW w:w="2629" w:type="dxa"/>
            <w:noWrap w:val="0"/>
            <w:vAlign w:val="center"/>
          </w:tcPr>
          <w:p w14:paraId="23ED988A">
            <w:pPr>
              <w:tabs>
                <w:tab w:val="left" w:pos="525"/>
              </w:tabs>
              <w:spacing w:line="360" w:lineRule="auto"/>
              <w:rPr>
                <w:rFonts w:ascii="宋体" w:hAnsi="宋体"/>
                <w:sz w:val="21"/>
                <w:szCs w:val="21"/>
              </w:rPr>
            </w:pPr>
            <w:r>
              <w:rPr>
                <w:rFonts w:ascii="宋体" w:hAnsi="宋体"/>
                <w:sz w:val="21"/>
                <w:szCs w:val="21"/>
              </w:rPr>
              <w:t>多年平均气温</w:t>
            </w:r>
          </w:p>
        </w:tc>
        <w:tc>
          <w:tcPr>
            <w:tcW w:w="900" w:type="dxa"/>
            <w:noWrap w:val="0"/>
            <w:vAlign w:val="center"/>
          </w:tcPr>
          <w:p w14:paraId="25E03006">
            <w:pPr>
              <w:tabs>
                <w:tab w:val="left" w:pos="525"/>
              </w:tabs>
              <w:spacing w:line="360" w:lineRule="auto"/>
              <w:rPr>
                <w:rFonts w:ascii="宋体" w:hAnsi="宋体"/>
                <w:sz w:val="21"/>
                <w:szCs w:val="21"/>
              </w:rPr>
            </w:pPr>
            <w:r>
              <w:rPr>
                <w:rFonts w:ascii="宋体" w:hAnsi="宋体"/>
                <w:sz w:val="21"/>
                <w:szCs w:val="21"/>
              </w:rPr>
              <w:t>℃</w:t>
            </w:r>
          </w:p>
        </w:tc>
        <w:tc>
          <w:tcPr>
            <w:tcW w:w="1260" w:type="dxa"/>
            <w:noWrap w:val="0"/>
            <w:vAlign w:val="center"/>
          </w:tcPr>
          <w:p w14:paraId="45458B73">
            <w:pPr>
              <w:tabs>
                <w:tab w:val="left" w:pos="525"/>
              </w:tabs>
              <w:spacing w:line="360" w:lineRule="auto"/>
              <w:rPr>
                <w:rFonts w:ascii="宋体" w:hAnsi="宋体"/>
                <w:sz w:val="21"/>
                <w:szCs w:val="21"/>
              </w:rPr>
            </w:pPr>
            <w:r>
              <w:rPr>
                <w:rFonts w:ascii="宋体" w:hAnsi="宋体"/>
                <w:sz w:val="21"/>
                <w:szCs w:val="21"/>
              </w:rPr>
              <w:t>14.5</w:t>
            </w:r>
          </w:p>
        </w:tc>
        <w:tc>
          <w:tcPr>
            <w:tcW w:w="1622" w:type="dxa"/>
            <w:noWrap w:val="0"/>
            <w:vAlign w:val="center"/>
          </w:tcPr>
          <w:p w14:paraId="14537BF1">
            <w:pPr>
              <w:tabs>
                <w:tab w:val="left" w:pos="525"/>
              </w:tabs>
              <w:spacing w:line="360" w:lineRule="auto"/>
              <w:rPr>
                <w:rFonts w:ascii="宋体" w:hAnsi="宋体"/>
                <w:sz w:val="21"/>
                <w:szCs w:val="21"/>
              </w:rPr>
            </w:pPr>
            <w:r>
              <w:rPr>
                <w:rFonts w:ascii="宋体" w:hAnsi="宋体"/>
                <w:sz w:val="21"/>
                <w:szCs w:val="21"/>
              </w:rPr>
              <w:t>-------</w:t>
            </w:r>
          </w:p>
        </w:tc>
        <w:tc>
          <w:tcPr>
            <w:tcW w:w="1622" w:type="dxa"/>
            <w:noWrap w:val="0"/>
            <w:vAlign w:val="center"/>
          </w:tcPr>
          <w:p w14:paraId="3FEAE3DF">
            <w:pPr>
              <w:tabs>
                <w:tab w:val="left" w:pos="525"/>
              </w:tabs>
              <w:spacing w:line="360" w:lineRule="auto"/>
              <w:rPr>
                <w:rFonts w:ascii="宋体" w:hAnsi="宋体"/>
                <w:sz w:val="21"/>
                <w:szCs w:val="21"/>
              </w:rPr>
            </w:pPr>
            <w:r>
              <w:rPr>
                <w:rFonts w:ascii="宋体" w:hAnsi="宋体"/>
                <w:sz w:val="21"/>
                <w:szCs w:val="21"/>
              </w:rPr>
              <w:t>建站～2010</w:t>
            </w:r>
          </w:p>
        </w:tc>
      </w:tr>
      <w:tr w14:paraId="65B1D5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2163215">
            <w:pPr>
              <w:tabs>
                <w:tab w:val="left" w:pos="525"/>
              </w:tabs>
              <w:spacing w:line="360" w:lineRule="auto"/>
              <w:ind w:firstLine="420" w:firstLineChars="200"/>
              <w:rPr>
                <w:rFonts w:ascii="宋体" w:hAnsi="宋体"/>
                <w:sz w:val="21"/>
                <w:szCs w:val="21"/>
              </w:rPr>
            </w:pPr>
            <w:r>
              <w:rPr>
                <w:rFonts w:hint="eastAsia" w:ascii="宋体" w:hAnsi="宋体"/>
                <w:sz w:val="21"/>
                <w:szCs w:val="21"/>
              </w:rPr>
              <w:t>2</w:t>
            </w:r>
          </w:p>
        </w:tc>
        <w:tc>
          <w:tcPr>
            <w:tcW w:w="2629" w:type="dxa"/>
            <w:noWrap w:val="0"/>
            <w:vAlign w:val="center"/>
          </w:tcPr>
          <w:p w14:paraId="10A84E48">
            <w:pPr>
              <w:tabs>
                <w:tab w:val="left" w:pos="525"/>
              </w:tabs>
              <w:spacing w:line="360" w:lineRule="auto"/>
              <w:rPr>
                <w:rFonts w:ascii="宋体" w:hAnsi="宋体"/>
                <w:sz w:val="21"/>
                <w:szCs w:val="21"/>
              </w:rPr>
            </w:pPr>
            <w:r>
              <w:rPr>
                <w:rFonts w:ascii="宋体" w:hAnsi="宋体"/>
                <w:sz w:val="21"/>
                <w:szCs w:val="21"/>
              </w:rPr>
              <w:t>多年平均气压</w:t>
            </w:r>
          </w:p>
        </w:tc>
        <w:tc>
          <w:tcPr>
            <w:tcW w:w="900" w:type="dxa"/>
            <w:noWrap w:val="0"/>
            <w:vAlign w:val="center"/>
          </w:tcPr>
          <w:p w14:paraId="5AF3184B">
            <w:pPr>
              <w:tabs>
                <w:tab w:val="left" w:pos="525"/>
              </w:tabs>
              <w:spacing w:line="360" w:lineRule="auto"/>
              <w:rPr>
                <w:rFonts w:ascii="宋体" w:hAnsi="宋体"/>
                <w:sz w:val="21"/>
                <w:szCs w:val="21"/>
              </w:rPr>
            </w:pPr>
            <w:r>
              <w:rPr>
                <w:rFonts w:ascii="宋体" w:hAnsi="宋体"/>
                <w:sz w:val="21"/>
                <w:szCs w:val="21"/>
              </w:rPr>
              <w:t>hPa</w:t>
            </w:r>
          </w:p>
        </w:tc>
        <w:tc>
          <w:tcPr>
            <w:tcW w:w="1260" w:type="dxa"/>
            <w:noWrap w:val="0"/>
            <w:vAlign w:val="center"/>
          </w:tcPr>
          <w:p w14:paraId="662ECC2D">
            <w:pPr>
              <w:tabs>
                <w:tab w:val="left" w:pos="525"/>
              </w:tabs>
              <w:spacing w:line="360" w:lineRule="auto"/>
              <w:rPr>
                <w:rFonts w:ascii="宋体" w:hAnsi="宋体"/>
                <w:sz w:val="21"/>
                <w:szCs w:val="21"/>
              </w:rPr>
            </w:pPr>
            <w:r>
              <w:rPr>
                <w:rFonts w:ascii="宋体" w:hAnsi="宋体"/>
                <w:sz w:val="21"/>
                <w:szCs w:val="21"/>
              </w:rPr>
              <w:t>985.4</w:t>
            </w:r>
          </w:p>
        </w:tc>
        <w:tc>
          <w:tcPr>
            <w:tcW w:w="1622" w:type="dxa"/>
            <w:noWrap w:val="0"/>
            <w:vAlign w:val="center"/>
          </w:tcPr>
          <w:p w14:paraId="651F40D3">
            <w:pPr>
              <w:tabs>
                <w:tab w:val="left" w:pos="525"/>
              </w:tabs>
              <w:spacing w:line="360" w:lineRule="auto"/>
              <w:rPr>
                <w:rFonts w:ascii="宋体" w:hAnsi="宋体"/>
                <w:sz w:val="21"/>
                <w:szCs w:val="21"/>
              </w:rPr>
            </w:pPr>
            <w:r>
              <w:rPr>
                <w:rFonts w:ascii="宋体" w:hAnsi="宋体"/>
                <w:sz w:val="21"/>
                <w:szCs w:val="21"/>
              </w:rPr>
              <w:t>-------</w:t>
            </w:r>
          </w:p>
        </w:tc>
        <w:tc>
          <w:tcPr>
            <w:tcW w:w="1622" w:type="dxa"/>
            <w:noWrap w:val="0"/>
            <w:vAlign w:val="center"/>
          </w:tcPr>
          <w:p w14:paraId="3AE6290A">
            <w:pPr>
              <w:tabs>
                <w:tab w:val="left" w:pos="525"/>
              </w:tabs>
              <w:spacing w:line="360" w:lineRule="auto"/>
              <w:rPr>
                <w:rFonts w:ascii="宋体" w:hAnsi="宋体"/>
                <w:sz w:val="21"/>
                <w:szCs w:val="21"/>
              </w:rPr>
            </w:pPr>
            <w:r>
              <w:rPr>
                <w:rFonts w:ascii="宋体" w:hAnsi="宋体"/>
                <w:sz w:val="21"/>
                <w:szCs w:val="21"/>
              </w:rPr>
              <w:t>建站～2010</w:t>
            </w:r>
          </w:p>
        </w:tc>
      </w:tr>
      <w:tr w14:paraId="523F35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D802233">
            <w:pPr>
              <w:tabs>
                <w:tab w:val="left" w:pos="525"/>
              </w:tabs>
              <w:spacing w:line="360" w:lineRule="auto"/>
              <w:ind w:firstLine="420" w:firstLineChars="200"/>
              <w:rPr>
                <w:rFonts w:ascii="宋体" w:hAnsi="宋体"/>
                <w:sz w:val="21"/>
                <w:szCs w:val="21"/>
              </w:rPr>
            </w:pPr>
            <w:r>
              <w:rPr>
                <w:rFonts w:hint="eastAsia" w:ascii="宋体" w:hAnsi="宋体"/>
                <w:sz w:val="21"/>
                <w:szCs w:val="21"/>
              </w:rPr>
              <w:t>3</w:t>
            </w:r>
          </w:p>
        </w:tc>
        <w:tc>
          <w:tcPr>
            <w:tcW w:w="2629" w:type="dxa"/>
            <w:noWrap w:val="0"/>
            <w:vAlign w:val="center"/>
          </w:tcPr>
          <w:p w14:paraId="2008C28C">
            <w:pPr>
              <w:tabs>
                <w:tab w:val="left" w:pos="525"/>
              </w:tabs>
              <w:spacing w:line="360" w:lineRule="auto"/>
              <w:rPr>
                <w:rFonts w:ascii="宋体" w:hAnsi="宋体"/>
                <w:sz w:val="21"/>
                <w:szCs w:val="21"/>
              </w:rPr>
            </w:pPr>
            <w:r>
              <w:rPr>
                <w:rFonts w:ascii="宋体" w:hAnsi="宋体"/>
                <w:sz w:val="21"/>
                <w:szCs w:val="21"/>
              </w:rPr>
              <w:t>多年平均风速</w:t>
            </w:r>
          </w:p>
        </w:tc>
        <w:tc>
          <w:tcPr>
            <w:tcW w:w="900" w:type="dxa"/>
            <w:noWrap w:val="0"/>
            <w:vAlign w:val="center"/>
          </w:tcPr>
          <w:p w14:paraId="7108EAF6">
            <w:pPr>
              <w:tabs>
                <w:tab w:val="left" w:pos="525"/>
              </w:tabs>
              <w:spacing w:line="360" w:lineRule="auto"/>
              <w:rPr>
                <w:rFonts w:ascii="宋体" w:hAnsi="宋体"/>
                <w:sz w:val="21"/>
                <w:szCs w:val="21"/>
              </w:rPr>
            </w:pPr>
            <w:r>
              <w:rPr>
                <w:rFonts w:ascii="宋体" w:hAnsi="宋体"/>
                <w:sz w:val="21"/>
                <w:szCs w:val="21"/>
              </w:rPr>
              <w:t>m/s</w:t>
            </w:r>
          </w:p>
        </w:tc>
        <w:tc>
          <w:tcPr>
            <w:tcW w:w="1260" w:type="dxa"/>
            <w:noWrap w:val="0"/>
            <w:vAlign w:val="center"/>
          </w:tcPr>
          <w:p w14:paraId="0D2226B2">
            <w:pPr>
              <w:tabs>
                <w:tab w:val="left" w:pos="525"/>
              </w:tabs>
              <w:spacing w:line="360" w:lineRule="auto"/>
              <w:rPr>
                <w:rFonts w:ascii="宋体" w:hAnsi="宋体"/>
                <w:sz w:val="21"/>
                <w:szCs w:val="21"/>
              </w:rPr>
            </w:pPr>
            <w:r>
              <w:rPr>
                <w:rFonts w:ascii="宋体" w:hAnsi="宋体"/>
                <w:sz w:val="21"/>
                <w:szCs w:val="21"/>
              </w:rPr>
              <w:t>2.4</w:t>
            </w:r>
          </w:p>
        </w:tc>
        <w:tc>
          <w:tcPr>
            <w:tcW w:w="1622" w:type="dxa"/>
            <w:noWrap w:val="0"/>
            <w:vAlign w:val="center"/>
          </w:tcPr>
          <w:p w14:paraId="63DE4F5A">
            <w:pPr>
              <w:tabs>
                <w:tab w:val="left" w:pos="525"/>
              </w:tabs>
              <w:spacing w:line="360" w:lineRule="auto"/>
              <w:rPr>
                <w:rFonts w:ascii="宋体" w:hAnsi="宋体"/>
                <w:sz w:val="21"/>
                <w:szCs w:val="21"/>
              </w:rPr>
            </w:pPr>
            <w:r>
              <w:rPr>
                <w:rFonts w:ascii="宋体" w:hAnsi="宋体"/>
                <w:sz w:val="21"/>
                <w:szCs w:val="21"/>
              </w:rPr>
              <w:t>-------</w:t>
            </w:r>
          </w:p>
        </w:tc>
        <w:tc>
          <w:tcPr>
            <w:tcW w:w="1622" w:type="dxa"/>
            <w:noWrap w:val="0"/>
            <w:vAlign w:val="center"/>
          </w:tcPr>
          <w:p w14:paraId="05BCA8DC">
            <w:pPr>
              <w:tabs>
                <w:tab w:val="left" w:pos="525"/>
              </w:tabs>
              <w:spacing w:line="360" w:lineRule="auto"/>
              <w:rPr>
                <w:rFonts w:ascii="宋体" w:hAnsi="宋体"/>
                <w:sz w:val="21"/>
                <w:szCs w:val="21"/>
              </w:rPr>
            </w:pPr>
            <w:r>
              <w:rPr>
                <w:rFonts w:ascii="宋体" w:hAnsi="宋体"/>
                <w:sz w:val="21"/>
                <w:szCs w:val="21"/>
              </w:rPr>
              <w:t>建站～2010</w:t>
            </w:r>
          </w:p>
        </w:tc>
      </w:tr>
      <w:tr w14:paraId="0776CF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75C3196">
            <w:pPr>
              <w:tabs>
                <w:tab w:val="left" w:pos="525"/>
              </w:tabs>
              <w:spacing w:line="360" w:lineRule="auto"/>
              <w:ind w:firstLine="420" w:firstLineChars="200"/>
              <w:rPr>
                <w:rFonts w:ascii="宋体" w:hAnsi="宋体"/>
                <w:sz w:val="21"/>
                <w:szCs w:val="21"/>
              </w:rPr>
            </w:pPr>
            <w:r>
              <w:rPr>
                <w:rFonts w:hint="eastAsia" w:ascii="宋体" w:hAnsi="宋体"/>
                <w:sz w:val="21"/>
                <w:szCs w:val="21"/>
              </w:rPr>
              <w:t>4</w:t>
            </w:r>
          </w:p>
        </w:tc>
        <w:tc>
          <w:tcPr>
            <w:tcW w:w="2629" w:type="dxa"/>
            <w:noWrap w:val="0"/>
            <w:vAlign w:val="center"/>
          </w:tcPr>
          <w:p w14:paraId="136B99DE">
            <w:pPr>
              <w:tabs>
                <w:tab w:val="left" w:pos="525"/>
              </w:tabs>
              <w:spacing w:line="360" w:lineRule="auto"/>
              <w:rPr>
                <w:rFonts w:ascii="宋体" w:hAnsi="宋体"/>
                <w:sz w:val="21"/>
                <w:szCs w:val="21"/>
              </w:rPr>
            </w:pPr>
            <w:r>
              <w:rPr>
                <w:rFonts w:ascii="宋体" w:hAnsi="宋体"/>
                <w:sz w:val="21"/>
                <w:szCs w:val="21"/>
              </w:rPr>
              <w:t>多年平均降水量</w:t>
            </w:r>
          </w:p>
        </w:tc>
        <w:tc>
          <w:tcPr>
            <w:tcW w:w="900" w:type="dxa"/>
            <w:noWrap w:val="0"/>
            <w:vAlign w:val="center"/>
          </w:tcPr>
          <w:p w14:paraId="07516469">
            <w:pPr>
              <w:tabs>
                <w:tab w:val="left" w:pos="525"/>
              </w:tabs>
              <w:spacing w:line="360" w:lineRule="auto"/>
              <w:rPr>
                <w:rFonts w:ascii="宋体" w:hAnsi="宋体"/>
                <w:sz w:val="21"/>
                <w:szCs w:val="21"/>
              </w:rPr>
            </w:pPr>
            <w:r>
              <w:rPr>
                <w:rFonts w:ascii="宋体" w:hAnsi="宋体"/>
                <w:sz w:val="21"/>
                <w:szCs w:val="21"/>
              </w:rPr>
              <w:t>mm</w:t>
            </w:r>
          </w:p>
        </w:tc>
        <w:tc>
          <w:tcPr>
            <w:tcW w:w="1260" w:type="dxa"/>
            <w:noWrap w:val="0"/>
            <w:vAlign w:val="center"/>
          </w:tcPr>
          <w:p w14:paraId="0F564060">
            <w:pPr>
              <w:tabs>
                <w:tab w:val="left" w:pos="525"/>
              </w:tabs>
              <w:spacing w:line="360" w:lineRule="auto"/>
              <w:rPr>
                <w:rFonts w:ascii="宋体" w:hAnsi="宋体"/>
                <w:sz w:val="21"/>
                <w:szCs w:val="21"/>
              </w:rPr>
            </w:pPr>
            <w:r>
              <w:rPr>
                <w:rFonts w:ascii="宋体" w:hAnsi="宋体"/>
                <w:sz w:val="21"/>
                <w:szCs w:val="21"/>
              </w:rPr>
              <w:t>644.9</w:t>
            </w:r>
          </w:p>
        </w:tc>
        <w:tc>
          <w:tcPr>
            <w:tcW w:w="1622" w:type="dxa"/>
            <w:noWrap w:val="0"/>
            <w:vAlign w:val="center"/>
          </w:tcPr>
          <w:p w14:paraId="4F747A62">
            <w:pPr>
              <w:tabs>
                <w:tab w:val="left" w:pos="525"/>
              </w:tabs>
              <w:spacing w:line="360" w:lineRule="auto"/>
              <w:rPr>
                <w:rFonts w:ascii="宋体" w:hAnsi="宋体"/>
                <w:sz w:val="21"/>
                <w:szCs w:val="21"/>
              </w:rPr>
            </w:pPr>
            <w:r>
              <w:rPr>
                <w:rFonts w:ascii="宋体" w:hAnsi="宋体"/>
                <w:sz w:val="21"/>
                <w:szCs w:val="21"/>
              </w:rPr>
              <w:t>-------</w:t>
            </w:r>
          </w:p>
        </w:tc>
        <w:tc>
          <w:tcPr>
            <w:tcW w:w="1622" w:type="dxa"/>
            <w:noWrap w:val="0"/>
            <w:vAlign w:val="center"/>
          </w:tcPr>
          <w:p w14:paraId="514D1E46">
            <w:pPr>
              <w:tabs>
                <w:tab w:val="left" w:pos="525"/>
              </w:tabs>
              <w:spacing w:line="360" w:lineRule="auto"/>
              <w:rPr>
                <w:rFonts w:ascii="宋体" w:hAnsi="宋体"/>
                <w:sz w:val="21"/>
                <w:szCs w:val="21"/>
              </w:rPr>
            </w:pPr>
            <w:r>
              <w:rPr>
                <w:rFonts w:ascii="宋体" w:hAnsi="宋体"/>
                <w:sz w:val="21"/>
                <w:szCs w:val="21"/>
              </w:rPr>
              <w:t>建站～2010</w:t>
            </w:r>
          </w:p>
        </w:tc>
      </w:tr>
      <w:tr w14:paraId="0C3C4C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59DA962">
            <w:pPr>
              <w:tabs>
                <w:tab w:val="left" w:pos="525"/>
              </w:tabs>
              <w:spacing w:line="360" w:lineRule="auto"/>
              <w:ind w:firstLine="420" w:firstLineChars="200"/>
              <w:rPr>
                <w:rFonts w:ascii="宋体" w:hAnsi="宋体"/>
                <w:sz w:val="21"/>
                <w:szCs w:val="21"/>
              </w:rPr>
            </w:pPr>
            <w:r>
              <w:rPr>
                <w:rFonts w:hint="eastAsia" w:ascii="宋体" w:hAnsi="宋体"/>
                <w:sz w:val="21"/>
                <w:szCs w:val="21"/>
              </w:rPr>
              <w:t>5</w:t>
            </w:r>
          </w:p>
        </w:tc>
        <w:tc>
          <w:tcPr>
            <w:tcW w:w="2629" w:type="dxa"/>
            <w:noWrap w:val="0"/>
            <w:vAlign w:val="center"/>
          </w:tcPr>
          <w:p w14:paraId="6025DC31">
            <w:pPr>
              <w:tabs>
                <w:tab w:val="left" w:pos="525"/>
              </w:tabs>
              <w:spacing w:line="360" w:lineRule="auto"/>
              <w:rPr>
                <w:rFonts w:ascii="宋体" w:hAnsi="宋体"/>
                <w:sz w:val="21"/>
                <w:szCs w:val="21"/>
              </w:rPr>
            </w:pPr>
            <w:r>
              <w:rPr>
                <w:rFonts w:ascii="宋体" w:hAnsi="宋体"/>
                <w:sz w:val="21"/>
                <w:szCs w:val="21"/>
              </w:rPr>
              <w:t>多年平均相对湿度</w:t>
            </w:r>
          </w:p>
        </w:tc>
        <w:tc>
          <w:tcPr>
            <w:tcW w:w="900" w:type="dxa"/>
            <w:noWrap w:val="0"/>
            <w:vAlign w:val="center"/>
          </w:tcPr>
          <w:p w14:paraId="4796695C">
            <w:pPr>
              <w:tabs>
                <w:tab w:val="left" w:pos="525"/>
              </w:tabs>
              <w:spacing w:line="360" w:lineRule="auto"/>
              <w:rPr>
                <w:rFonts w:ascii="宋体" w:hAnsi="宋体"/>
                <w:sz w:val="21"/>
                <w:szCs w:val="21"/>
              </w:rPr>
            </w:pPr>
            <w:r>
              <w:rPr>
                <w:rFonts w:ascii="宋体" w:hAnsi="宋体"/>
                <w:sz w:val="21"/>
                <w:szCs w:val="21"/>
              </w:rPr>
              <w:t>%</w:t>
            </w:r>
          </w:p>
        </w:tc>
        <w:tc>
          <w:tcPr>
            <w:tcW w:w="1260" w:type="dxa"/>
            <w:noWrap w:val="0"/>
            <w:vAlign w:val="center"/>
          </w:tcPr>
          <w:p w14:paraId="1B39BF50">
            <w:pPr>
              <w:tabs>
                <w:tab w:val="left" w:pos="525"/>
              </w:tabs>
              <w:spacing w:line="360" w:lineRule="auto"/>
              <w:rPr>
                <w:rFonts w:ascii="宋体" w:hAnsi="宋体"/>
                <w:sz w:val="21"/>
                <w:szCs w:val="21"/>
              </w:rPr>
            </w:pPr>
            <w:r>
              <w:rPr>
                <w:rFonts w:ascii="宋体" w:hAnsi="宋体"/>
                <w:sz w:val="21"/>
                <w:szCs w:val="21"/>
              </w:rPr>
              <w:t>65</w:t>
            </w:r>
          </w:p>
        </w:tc>
        <w:tc>
          <w:tcPr>
            <w:tcW w:w="1622" w:type="dxa"/>
            <w:noWrap w:val="0"/>
            <w:vAlign w:val="center"/>
          </w:tcPr>
          <w:p w14:paraId="7E32CDC8">
            <w:pPr>
              <w:tabs>
                <w:tab w:val="left" w:pos="525"/>
              </w:tabs>
              <w:spacing w:line="360" w:lineRule="auto"/>
              <w:rPr>
                <w:rFonts w:ascii="宋体" w:hAnsi="宋体"/>
                <w:sz w:val="21"/>
                <w:szCs w:val="21"/>
              </w:rPr>
            </w:pPr>
            <w:r>
              <w:rPr>
                <w:rFonts w:ascii="宋体" w:hAnsi="宋体"/>
                <w:sz w:val="21"/>
                <w:szCs w:val="21"/>
              </w:rPr>
              <w:t>-------</w:t>
            </w:r>
          </w:p>
        </w:tc>
        <w:tc>
          <w:tcPr>
            <w:tcW w:w="1622" w:type="dxa"/>
            <w:noWrap w:val="0"/>
            <w:vAlign w:val="center"/>
          </w:tcPr>
          <w:p w14:paraId="6C5A4EF5">
            <w:pPr>
              <w:tabs>
                <w:tab w:val="left" w:pos="525"/>
              </w:tabs>
              <w:spacing w:line="360" w:lineRule="auto"/>
              <w:rPr>
                <w:rFonts w:ascii="宋体" w:hAnsi="宋体"/>
                <w:sz w:val="21"/>
                <w:szCs w:val="21"/>
              </w:rPr>
            </w:pPr>
            <w:r>
              <w:rPr>
                <w:rFonts w:ascii="宋体" w:hAnsi="宋体"/>
                <w:sz w:val="21"/>
                <w:szCs w:val="21"/>
              </w:rPr>
              <w:t>建站～2010</w:t>
            </w:r>
          </w:p>
        </w:tc>
      </w:tr>
      <w:tr w14:paraId="17ED18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7DE0E6E">
            <w:pPr>
              <w:tabs>
                <w:tab w:val="left" w:pos="525"/>
              </w:tabs>
              <w:spacing w:line="360" w:lineRule="auto"/>
              <w:ind w:firstLine="420" w:firstLineChars="200"/>
              <w:rPr>
                <w:rFonts w:ascii="宋体" w:hAnsi="宋体"/>
                <w:sz w:val="21"/>
                <w:szCs w:val="21"/>
              </w:rPr>
            </w:pPr>
            <w:r>
              <w:rPr>
                <w:rFonts w:hint="eastAsia" w:ascii="宋体" w:hAnsi="宋体"/>
                <w:sz w:val="21"/>
                <w:szCs w:val="21"/>
              </w:rPr>
              <w:t>6</w:t>
            </w:r>
          </w:p>
        </w:tc>
        <w:tc>
          <w:tcPr>
            <w:tcW w:w="2629" w:type="dxa"/>
            <w:noWrap w:val="0"/>
            <w:vAlign w:val="center"/>
          </w:tcPr>
          <w:p w14:paraId="7E4AC3ED">
            <w:pPr>
              <w:tabs>
                <w:tab w:val="left" w:pos="525"/>
              </w:tabs>
              <w:spacing w:line="360" w:lineRule="auto"/>
              <w:rPr>
                <w:rFonts w:ascii="宋体" w:hAnsi="宋体"/>
                <w:sz w:val="21"/>
                <w:szCs w:val="21"/>
              </w:rPr>
            </w:pPr>
            <w:r>
              <w:rPr>
                <w:rFonts w:ascii="宋体" w:hAnsi="宋体"/>
                <w:sz w:val="21"/>
                <w:szCs w:val="21"/>
              </w:rPr>
              <w:t>多年平均雷暴日数</w:t>
            </w:r>
          </w:p>
        </w:tc>
        <w:tc>
          <w:tcPr>
            <w:tcW w:w="900" w:type="dxa"/>
            <w:noWrap w:val="0"/>
            <w:vAlign w:val="center"/>
          </w:tcPr>
          <w:p w14:paraId="7BE99D84">
            <w:pPr>
              <w:tabs>
                <w:tab w:val="left" w:pos="525"/>
              </w:tabs>
              <w:spacing w:line="360" w:lineRule="auto"/>
              <w:rPr>
                <w:rFonts w:ascii="宋体" w:hAnsi="宋体"/>
                <w:sz w:val="21"/>
                <w:szCs w:val="21"/>
              </w:rPr>
            </w:pPr>
            <w:r>
              <w:rPr>
                <w:rFonts w:ascii="宋体" w:hAnsi="宋体"/>
                <w:sz w:val="21"/>
                <w:szCs w:val="21"/>
              </w:rPr>
              <w:t>d</w:t>
            </w:r>
          </w:p>
        </w:tc>
        <w:tc>
          <w:tcPr>
            <w:tcW w:w="1260" w:type="dxa"/>
            <w:noWrap w:val="0"/>
            <w:vAlign w:val="center"/>
          </w:tcPr>
          <w:p w14:paraId="761062EB">
            <w:pPr>
              <w:tabs>
                <w:tab w:val="left" w:pos="525"/>
              </w:tabs>
              <w:spacing w:line="360" w:lineRule="auto"/>
              <w:rPr>
                <w:rFonts w:ascii="宋体" w:hAnsi="宋体"/>
                <w:sz w:val="21"/>
                <w:szCs w:val="21"/>
              </w:rPr>
            </w:pPr>
            <w:r>
              <w:rPr>
                <w:rFonts w:ascii="宋体" w:hAnsi="宋体"/>
                <w:sz w:val="21"/>
                <w:szCs w:val="21"/>
              </w:rPr>
              <w:t>21</w:t>
            </w:r>
          </w:p>
        </w:tc>
        <w:tc>
          <w:tcPr>
            <w:tcW w:w="1622" w:type="dxa"/>
            <w:noWrap w:val="0"/>
            <w:vAlign w:val="center"/>
          </w:tcPr>
          <w:p w14:paraId="503C5A5D">
            <w:pPr>
              <w:tabs>
                <w:tab w:val="left" w:pos="525"/>
              </w:tabs>
              <w:spacing w:line="360" w:lineRule="auto"/>
              <w:rPr>
                <w:rFonts w:ascii="宋体" w:hAnsi="宋体"/>
                <w:sz w:val="21"/>
                <w:szCs w:val="21"/>
              </w:rPr>
            </w:pPr>
            <w:r>
              <w:rPr>
                <w:rFonts w:ascii="宋体" w:hAnsi="宋体"/>
                <w:sz w:val="21"/>
                <w:szCs w:val="21"/>
              </w:rPr>
              <w:t>-------</w:t>
            </w:r>
          </w:p>
        </w:tc>
        <w:tc>
          <w:tcPr>
            <w:tcW w:w="1622" w:type="dxa"/>
            <w:noWrap w:val="0"/>
            <w:vAlign w:val="center"/>
          </w:tcPr>
          <w:p w14:paraId="40A93AB9">
            <w:pPr>
              <w:tabs>
                <w:tab w:val="left" w:pos="525"/>
              </w:tabs>
              <w:spacing w:line="360" w:lineRule="auto"/>
              <w:rPr>
                <w:rFonts w:ascii="宋体" w:hAnsi="宋体"/>
                <w:sz w:val="21"/>
                <w:szCs w:val="21"/>
              </w:rPr>
            </w:pPr>
            <w:r>
              <w:rPr>
                <w:rFonts w:ascii="宋体" w:hAnsi="宋体"/>
                <w:sz w:val="21"/>
                <w:szCs w:val="21"/>
              </w:rPr>
              <w:t>建站～2005</w:t>
            </w:r>
          </w:p>
        </w:tc>
      </w:tr>
      <w:tr w14:paraId="082638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512E2D4">
            <w:pPr>
              <w:tabs>
                <w:tab w:val="left" w:pos="525"/>
              </w:tabs>
              <w:spacing w:line="360" w:lineRule="auto"/>
              <w:ind w:firstLine="420" w:firstLineChars="200"/>
              <w:rPr>
                <w:rFonts w:ascii="宋体" w:hAnsi="宋体"/>
                <w:sz w:val="21"/>
                <w:szCs w:val="21"/>
              </w:rPr>
            </w:pPr>
            <w:r>
              <w:rPr>
                <w:rFonts w:hint="eastAsia" w:ascii="宋体" w:hAnsi="宋体"/>
                <w:sz w:val="21"/>
                <w:szCs w:val="21"/>
              </w:rPr>
              <w:t>7</w:t>
            </w:r>
          </w:p>
        </w:tc>
        <w:tc>
          <w:tcPr>
            <w:tcW w:w="2629" w:type="dxa"/>
            <w:noWrap w:val="0"/>
            <w:vAlign w:val="center"/>
          </w:tcPr>
          <w:p w14:paraId="792C60F0">
            <w:pPr>
              <w:tabs>
                <w:tab w:val="left" w:pos="525"/>
              </w:tabs>
              <w:spacing w:line="360" w:lineRule="auto"/>
              <w:rPr>
                <w:rFonts w:ascii="宋体" w:hAnsi="宋体"/>
                <w:sz w:val="21"/>
                <w:szCs w:val="21"/>
              </w:rPr>
            </w:pPr>
            <w:r>
              <w:rPr>
                <w:rFonts w:ascii="宋体" w:hAnsi="宋体"/>
                <w:sz w:val="21"/>
                <w:szCs w:val="21"/>
              </w:rPr>
              <w:t>极端最高气温</w:t>
            </w:r>
          </w:p>
        </w:tc>
        <w:tc>
          <w:tcPr>
            <w:tcW w:w="900" w:type="dxa"/>
            <w:noWrap w:val="0"/>
            <w:vAlign w:val="center"/>
          </w:tcPr>
          <w:p w14:paraId="5B46CEBD">
            <w:pPr>
              <w:tabs>
                <w:tab w:val="left" w:pos="525"/>
              </w:tabs>
              <w:spacing w:line="360" w:lineRule="auto"/>
              <w:rPr>
                <w:rFonts w:ascii="宋体" w:hAnsi="宋体"/>
                <w:sz w:val="21"/>
                <w:szCs w:val="21"/>
              </w:rPr>
            </w:pPr>
            <w:r>
              <w:rPr>
                <w:rFonts w:ascii="宋体" w:hAnsi="宋体"/>
                <w:sz w:val="21"/>
                <w:szCs w:val="21"/>
              </w:rPr>
              <w:t>℃</w:t>
            </w:r>
          </w:p>
        </w:tc>
        <w:tc>
          <w:tcPr>
            <w:tcW w:w="1260" w:type="dxa"/>
            <w:noWrap w:val="0"/>
            <w:vAlign w:val="center"/>
          </w:tcPr>
          <w:p w14:paraId="17DA90E7">
            <w:pPr>
              <w:tabs>
                <w:tab w:val="left" w:pos="525"/>
              </w:tabs>
              <w:spacing w:line="360" w:lineRule="auto"/>
              <w:rPr>
                <w:rFonts w:ascii="宋体" w:hAnsi="宋体"/>
                <w:sz w:val="21"/>
                <w:szCs w:val="21"/>
              </w:rPr>
            </w:pPr>
            <w:r>
              <w:rPr>
                <w:rFonts w:ascii="宋体" w:hAnsi="宋体"/>
                <w:sz w:val="21"/>
                <w:szCs w:val="21"/>
              </w:rPr>
              <w:t>44.0</w:t>
            </w:r>
          </w:p>
        </w:tc>
        <w:tc>
          <w:tcPr>
            <w:tcW w:w="1622" w:type="dxa"/>
            <w:noWrap w:val="0"/>
            <w:vAlign w:val="center"/>
          </w:tcPr>
          <w:p w14:paraId="17CB6CEB">
            <w:pPr>
              <w:tabs>
                <w:tab w:val="left" w:pos="525"/>
              </w:tabs>
              <w:spacing w:line="360" w:lineRule="auto"/>
              <w:rPr>
                <w:rFonts w:ascii="宋体" w:hAnsi="宋体"/>
                <w:sz w:val="21"/>
                <w:szCs w:val="21"/>
              </w:rPr>
            </w:pPr>
            <w:r>
              <w:rPr>
                <w:rFonts w:ascii="宋体" w:hAnsi="宋体"/>
                <w:sz w:val="21"/>
                <w:szCs w:val="21"/>
              </w:rPr>
              <w:t>66.6.20</w:t>
            </w:r>
          </w:p>
        </w:tc>
        <w:tc>
          <w:tcPr>
            <w:tcW w:w="1622" w:type="dxa"/>
            <w:noWrap w:val="0"/>
            <w:vAlign w:val="center"/>
          </w:tcPr>
          <w:p w14:paraId="748FBF39">
            <w:pPr>
              <w:tabs>
                <w:tab w:val="left" w:pos="525"/>
              </w:tabs>
              <w:spacing w:line="360" w:lineRule="auto"/>
              <w:rPr>
                <w:rFonts w:ascii="宋体" w:hAnsi="宋体"/>
                <w:sz w:val="21"/>
                <w:szCs w:val="21"/>
              </w:rPr>
            </w:pPr>
            <w:r>
              <w:rPr>
                <w:rFonts w:ascii="宋体" w:hAnsi="宋体"/>
                <w:sz w:val="21"/>
                <w:szCs w:val="21"/>
              </w:rPr>
              <w:t>建站～2005</w:t>
            </w:r>
          </w:p>
        </w:tc>
      </w:tr>
      <w:tr w14:paraId="59E4B0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B3D232C">
            <w:pPr>
              <w:tabs>
                <w:tab w:val="left" w:pos="525"/>
              </w:tabs>
              <w:spacing w:line="360" w:lineRule="auto"/>
              <w:ind w:firstLine="420" w:firstLineChars="200"/>
              <w:rPr>
                <w:rFonts w:ascii="宋体" w:hAnsi="宋体"/>
                <w:sz w:val="21"/>
                <w:szCs w:val="21"/>
              </w:rPr>
            </w:pPr>
            <w:r>
              <w:rPr>
                <w:rFonts w:hint="eastAsia" w:ascii="宋体" w:hAnsi="宋体"/>
                <w:sz w:val="21"/>
                <w:szCs w:val="21"/>
              </w:rPr>
              <w:t>8</w:t>
            </w:r>
          </w:p>
        </w:tc>
        <w:tc>
          <w:tcPr>
            <w:tcW w:w="2629" w:type="dxa"/>
            <w:noWrap w:val="0"/>
            <w:vAlign w:val="center"/>
          </w:tcPr>
          <w:p w14:paraId="7AC46C70">
            <w:pPr>
              <w:tabs>
                <w:tab w:val="left" w:pos="525"/>
              </w:tabs>
              <w:spacing w:line="360" w:lineRule="auto"/>
              <w:rPr>
                <w:rFonts w:ascii="宋体" w:hAnsi="宋体"/>
                <w:sz w:val="21"/>
                <w:szCs w:val="21"/>
              </w:rPr>
            </w:pPr>
            <w:r>
              <w:rPr>
                <w:rFonts w:ascii="宋体" w:hAnsi="宋体"/>
                <w:sz w:val="21"/>
                <w:szCs w:val="21"/>
              </w:rPr>
              <w:t>极端最低气温</w:t>
            </w:r>
          </w:p>
        </w:tc>
        <w:tc>
          <w:tcPr>
            <w:tcW w:w="900" w:type="dxa"/>
            <w:noWrap w:val="0"/>
            <w:vAlign w:val="center"/>
          </w:tcPr>
          <w:p w14:paraId="2922F268">
            <w:pPr>
              <w:tabs>
                <w:tab w:val="left" w:pos="525"/>
              </w:tabs>
              <w:spacing w:line="360" w:lineRule="auto"/>
              <w:rPr>
                <w:rFonts w:ascii="宋体" w:hAnsi="宋体"/>
                <w:sz w:val="21"/>
                <w:szCs w:val="21"/>
              </w:rPr>
            </w:pPr>
            <w:r>
              <w:rPr>
                <w:rFonts w:ascii="宋体" w:hAnsi="宋体"/>
                <w:sz w:val="21"/>
                <w:szCs w:val="21"/>
              </w:rPr>
              <w:t>℃</w:t>
            </w:r>
          </w:p>
        </w:tc>
        <w:tc>
          <w:tcPr>
            <w:tcW w:w="1260" w:type="dxa"/>
            <w:noWrap w:val="0"/>
            <w:vAlign w:val="center"/>
          </w:tcPr>
          <w:p w14:paraId="3682B773">
            <w:pPr>
              <w:tabs>
                <w:tab w:val="left" w:pos="525"/>
              </w:tabs>
              <w:spacing w:line="360" w:lineRule="auto"/>
              <w:rPr>
                <w:rFonts w:ascii="宋体" w:hAnsi="宋体"/>
                <w:sz w:val="21"/>
                <w:szCs w:val="21"/>
              </w:rPr>
            </w:pPr>
            <w:r>
              <w:rPr>
                <w:rFonts w:ascii="宋体" w:hAnsi="宋体"/>
                <w:sz w:val="21"/>
                <w:szCs w:val="21"/>
              </w:rPr>
              <w:t>-17.1</w:t>
            </w:r>
          </w:p>
        </w:tc>
        <w:tc>
          <w:tcPr>
            <w:tcW w:w="1622" w:type="dxa"/>
            <w:noWrap w:val="0"/>
            <w:vAlign w:val="center"/>
          </w:tcPr>
          <w:p w14:paraId="76D5F0DC">
            <w:pPr>
              <w:tabs>
                <w:tab w:val="left" w:pos="525"/>
              </w:tabs>
              <w:spacing w:line="360" w:lineRule="auto"/>
              <w:rPr>
                <w:rFonts w:ascii="宋体" w:hAnsi="宋体"/>
                <w:sz w:val="21"/>
                <w:szCs w:val="21"/>
              </w:rPr>
            </w:pPr>
            <w:r>
              <w:rPr>
                <w:rFonts w:ascii="宋体" w:hAnsi="宋体"/>
                <w:sz w:val="21"/>
                <w:szCs w:val="21"/>
              </w:rPr>
              <w:t>69.1.31</w:t>
            </w:r>
          </w:p>
        </w:tc>
        <w:tc>
          <w:tcPr>
            <w:tcW w:w="1622" w:type="dxa"/>
            <w:noWrap w:val="0"/>
            <w:vAlign w:val="center"/>
          </w:tcPr>
          <w:p w14:paraId="7C2C4400">
            <w:pPr>
              <w:tabs>
                <w:tab w:val="left" w:pos="525"/>
              </w:tabs>
              <w:spacing w:line="360" w:lineRule="auto"/>
              <w:rPr>
                <w:rFonts w:ascii="宋体" w:hAnsi="宋体"/>
                <w:sz w:val="21"/>
                <w:szCs w:val="21"/>
              </w:rPr>
            </w:pPr>
            <w:r>
              <w:rPr>
                <w:rFonts w:ascii="宋体" w:hAnsi="宋体"/>
                <w:sz w:val="21"/>
                <w:szCs w:val="21"/>
              </w:rPr>
              <w:t>建站～2005</w:t>
            </w:r>
          </w:p>
        </w:tc>
      </w:tr>
      <w:tr w14:paraId="29AD1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3FF8E58">
            <w:pPr>
              <w:tabs>
                <w:tab w:val="left" w:pos="525"/>
              </w:tabs>
              <w:spacing w:line="360" w:lineRule="auto"/>
              <w:ind w:firstLine="420" w:firstLineChars="200"/>
              <w:rPr>
                <w:rFonts w:ascii="宋体" w:hAnsi="宋体"/>
                <w:sz w:val="21"/>
                <w:szCs w:val="21"/>
              </w:rPr>
            </w:pPr>
            <w:r>
              <w:rPr>
                <w:rFonts w:hint="eastAsia" w:ascii="宋体" w:hAnsi="宋体"/>
                <w:sz w:val="21"/>
                <w:szCs w:val="21"/>
              </w:rPr>
              <w:t>9</w:t>
            </w:r>
          </w:p>
        </w:tc>
        <w:tc>
          <w:tcPr>
            <w:tcW w:w="2629" w:type="dxa"/>
            <w:noWrap w:val="0"/>
            <w:vAlign w:val="center"/>
          </w:tcPr>
          <w:p w14:paraId="158DC1BA">
            <w:pPr>
              <w:tabs>
                <w:tab w:val="left" w:pos="525"/>
              </w:tabs>
              <w:spacing w:line="360" w:lineRule="auto"/>
              <w:rPr>
                <w:rFonts w:ascii="宋体" w:hAnsi="宋体"/>
                <w:sz w:val="21"/>
                <w:szCs w:val="21"/>
              </w:rPr>
            </w:pPr>
            <w:r>
              <w:rPr>
                <w:rFonts w:ascii="宋体" w:hAnsi="宋体"/>
                <w:sz w:val="21"/>
                <w:szCs w:val="21"/>
              </w:rPr>
              <w:t>定时最大风速</w:t>
            </w:r>
          </w:p>
        </w:tc>
        <w:tc>
          <w:tcPr>
            <w:tcW w:w="900" w:type="dxa"/>
            <w:noWrap w:val="0"/>
            <w:vAlign w:val="center"/>
          </w:tcPr>
          <w:p w14:paraId="69B8F2C1">
            <w:pPr>
              <w:tabs>
                <w:tab w:val="left" w:pos="525"/>
              </w:tabs>
              <w:spacing w:line="360" w:lineRule="auto"/>
              <w:rPr>
                <w:rFonts w:ascii="宋体" w:hAnsi="宋体"/>
                <w:sz w:val="21"/>
                <w:szCs w:val="21"/>
              </w:rPr>
            </w:pPr>
            <w:r>
              <w:rPr>
                <w:rFonts w:ascii="宋体" w:hAnsi="宋体"/>
                <w:sz w:val="21"/>
                <w:szCs w:val="21"/>
              </w:rPr>
              <w:t>m/s</w:t>
            </w:r>
          </w:p>
        </w:tc>
        <w:tc>
          <w:tcPr>
            <w:tcW w:w="1260" w:type="dxa"/>
            <w:noWrap w:val="0"/>
            <w:vAlign w:val="center"/>
          </w:tcPr>
          <w:p w14:paraId="4069360D">
            <w:pPr>
              <w:tabs>
                <w:tab w:val="left" w:pos="525"/>
              </w:tabs>
              <w:spacing w:line="360" w:lineRule="auto"/>
              <w:rPr>
                <w:rFonts w:ascii="宋体" w:hAnsi="宋体"/>
                <w:sz w:val="21"/>
                <w:szCs w:val="21"/>
              </w:rPr>
            </w:pPr>
            <w:r>
              <w:rPr>
                <w:rFonts w:ascii="宋体" w:hAnsi="宋体"/>
                <w:sz w:val="21"/>
                <w:szCs w:val="21"/>
              </w:rPr>
              <w:t>20.0</w:t>
            </w:r>
          </w:p>
        </w:tc>
        <w:tc>
          <w:tcPr>
            <w:tcW w:w="1622" w:type="dxa"/>
            <w:noWrap w:val="0"/>
            <w:vAlign w:val="center"/>
          </w:tcPr>
          <w:p w14:paraId="61356B86">
            <w:pPr>
              <w:tabs>
                <w:tab w:val="left" w:pos="525"/>
              </w:tabs>
              <w:spacing w:line="360" w:lineRule="auto"/>
              <w:rPr>
                <w:rFonts w:ascii="宋体" w:hAnsi="宋体"/>
                <w:sz w:val="21"/>
                <w:szCs w:val="21"/>
              </w:rPr>
            </w:pPr>
            <w:r>
              <w:rPr>
                <w:rFonts w:ascii="宋体" w:hAnsi="宋体"/>
                <w:sz w:val="21"/>
                <w:szCs w:val="21"/>
              </w:rPr>
              <w:t>85.8.13</w:t>
            </w:r>
          </w:p>
        </w:tc>
        <w:tc>
          <w:tcPr>
            <w:tcW w:w="1622" w:type="dxa"/>
            <w:noWrap w:val="0"/>
            <w:vAlign w:val="center"/>
          </w:tcPr>
          <w:p w14:paraId="719C6800">
            <w:pPr>
              <w:tabs>
                <w:tab w:val="left" w:pos="525"/>
              </w:tabs>
              <w:spacing w:line="360" w:lineRule="auto"/>
              <w:rPr>
                <w:rFonts w:ascii="宋体" w:hAnsi="宋体"/>
                <w:sz w:val="21"/>
                <w:szCs w:val="21"/>
              </w:rPr>
            </w:pPr>
            <w:r>
              <w:rPr>
                <w:rFonts w:ascii="宋体" w:hAnsi="宋体"/>
                <w:sz w:val="21"/>
                <w:szCs w:val="21"/>
              </w:rPr>
              <w:t>建站～2005</w:t>
            </w:r>
          </w:p>
        </w:tc>
      </w:tr>
      <w:tr w14:paraId="7D6AA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9D58511">
            <w:pPr>
              <w:tabs>
                <w:tab w:val="left" w:pos="525"/>
              </w:tabs>
              <w:spacing w:line="360" w:lineRule="auto"/>
              <w:ind w:firstLine="420" w:firstLineChars="200"/>
              <w:rPr>
                <w:rFonts w:ascii="宋体" w:hAnsi="宋体"/>
                <w:sz w:val="21"/>
                <w:szCs w:val="21"/>
              </w:rPr>
            </w:pPr>
            <w:r>
              <w:rPr>
                <w:rFonts w:hint="eastAsia" w:ascii="宋体" w:hAnsi="宋体"/>
                <w:sz w:val="21"/>
                <w:szCs w:val="21"/>
              </w:rPr>
              <w:t>10</w:t>
            </w:r>
          </w:p>
        </w:tc>
        <w:tc>
          <w:tcPr>
            <w:tcW w:w="2629" w:type="dxa"/>
            <w:noWrap w:val="0"/>
            <w:vAlign w:val="center"/>
          </w:tcPr>
          <w:p w14:paraId="4D2A8794">
            <w:pPr>
              <w:tabs>
                <w:tab w:val="left" w:pos="525"/>
              </w:tabs>
              <w:spacing w:line="360" w:lineRule="auto"/>
              <w:rPr>
                <w:rFonts w:ascii="宋体" w:hAnsi="宋体"/>
                <w:sz w:val="21"/>
                <w:szCs w:val="21"/>
              </w:rPr>
            </w:pPr>
            <w:r>
              <w:rPr>
                <w:rFonts w:ascii="宋体" w:hAnsi="宋体"/>
                <w:sz w:val="21"/>
                <w:szCs w:val="21"/>
              </w:rPr>
              <w:t>最大一日降水量</w:t>
            </w:r>
          </w:p>
        </w:tc>
        <w:tc>
          <w:tcPr>
            <w:tcW w:w="900" w:type="dxa"/>
            <w:noWrap w:val="0"/>
            <w:vAlign w:val="center"/>
          </w:tcPr>
          <w:p w14:paraId="0883884F">
            <w:pPr>
              <w:tabs>
                <w:tab w:val="left" w:pos="525"/>
              </w:tabs>
              <w:spacing w:line="360" w:lineRule="auto"/>
              <w:rPr>
                <w:rFonts w:ascii="宋体" w:hAnsi="宋体"/>
                <w:sz w:val="21"/>
                <w:szCs w:val="21"/>
              </w:rPr>
            </w:pPr>
            <w:r>
              <w:rPr>
                <w:rFonts w:ascii="宋体" w:hAnsi="宋体"/>
                <w:sz w:val="21"/>
                <w:szCs w:val="21"/>
              </w:rPr>
              <w:t>mm</w:t>
            </w:r>
          </w:p>
        </w:tc>
        <w:tc>
          <w:tcPr>
            <w:tcW w:w="1260" w:type="dxa"/>
            <w:noWrap w:val="0"/>
            <w:vAlign w:val="center"/>
          </w:tcPr>
          <w:p w14:paraId="2C5534BF">
            <w:pPr>
              <w:tabs>
                <w:tab w:val="left" w:pos="525"/>
              </w:tabs>
              <w:spacing w:line="360" w:lineRule="auto"/>
              <w:rPr>
                <w:rFonts w:ascii="宋体" w:hAnsi="宋体"/>
                <w:sz w:val="21"/>
                <w:szCs w:val="21"/>
              </w:rPr>
            </w:pPr>
            <w:r>
              <w:rPr>
                <w:rFonts w:ascii="宋体" w:hAnsi="宋体"/>
                <w:sz w:val="21"/>
                <w:szCs w:val="21"/>
              </w:rPr>
              <w:t>184.5</w:t>
            </w:r>
          </w:p>
        </w:tc>
        <w:tc>
          <w:tcPr>
            <w:tcW w:w="1622" w:type="dxa"/>
            <w:noWrap w:val="0"/>
            <w:vAlign w:val="center"/>
          </w:tcPr>
          <w:p w14:paraId="6427876A">
            <w:pPr>
              <w:tabs>
                <w:tab w:val="left" w:pos="525"/>
              </w:tabs>
              <w:spacing w:line="360" w:lineRule="auto"/>
              <w:rPr>
                <w:rFonts w:ascii="宋体" w:hAnsi="宋体"/>
                <w:sz w:val="21"/>
                <w:szCs w:val="21"/>
              </w:rPr>
            </w:pPr>
            <w:r>
              <w:rPr>
                <w:rFonts w:ascii="宋体" w:hAnsi="宋体"/>
                <w:sz w:val="21"/>
                <w:szCs w:val="21"/>
              </w:rPr>
              <w:t>82.7.30</w:t>
            </w:r>
          </w:p>
        </w:tc>
        <w:tc>
          <w:tcPr>
            <w:tcW w:w="1622" w:type="dxa"/>
            <w:noWrap w:val="0"/>
            <w:vAlign w:val="center"/>
          </w:tcPr>
          <w:p w14:paraId="0B502302">
            <w:pPr>
              <w:tabs>
                <w:tab w:val="left" w:pos="525"/>
              </w:tabs>
              <w:spacing w:line="360" w:lineRule="auto"/>
              <w:rPr>
                <w:rFonts w:ascii="宋体" w:hAnsi="宋体"/>
                <w:sz w:val="21"/>
                <w:szCs w:val="21"/>
              </w:rPr>
            </w:pPr>
            <w:r>
              <w:rPr>
                <w:rFonts w:ascii="宋体" w:hAnsi="宋体"/>
                <w:sz w:val="21"/>
                <w:szCs w:val="21"/>
              </w:rPr>
              <w:t>建站～2005</w:t>
            </w:r>
          </w:p>
        </w:tc>
      </w:tr>
      <w:tr w14:paraId="4C66E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462FB49">
            <w:pPr>
              <w:tabs>
                <w:tab w:val="left" w:pos="525"/>
              </w:tabs>
              <w:spacing w:line="360" w:lineRule="auto"/>
              <w:ind w:firstLine="420" w:firstLineChars="200"/>
              <w:rPr>
                <w:rFonts w:ascii="宋体" w:hAnsi="宋体"/>
                <w:sz w:val="21"/>
                <w:szCs w:val="21"/>
              </w:rPr>
            </w:pPr>
            <w:r>
              <w:rPr>
                <w:rFonts w:hint="eastAsia" w:ascii="宋体" w:hAnsi="宋体"/>
                <w:sz w:val="21"/>
                <w:szCs w:val="21"/>
              </w:rPr>
              <w:t>11</w:t>
            </w:r>
          </w:p>
        </w:tc>
        <w:tc>
          <w:tcPr>
            <w:tcW w:w="2629" w:type="dxa"/>
            <w:noWrap w:val="0"/>
            <w:vAlign w:val="center"/>
          </w:tcPr>
          <w:p w14:paraId="221E3254">
            <w:pPr>
              <w:tabs>
                <w:tab w:val="left" w:pos="525"/>
              </w:tabs>
              <w:spacing w:line="360" w:lineRule="auto"/>
              <w:rPr>
                <w:rFonts w:ascii="宋体" w:hAnsi="宋体"/>
                <w:sz w:val="21"/>
                <w:szCs w:val="21"/>
              </w:rPr>
            </w:pPr>
            <w:r>
              <w:rPr>
                <w:rFonts w:ascii="宋体" w:hAnsi="宋体"/>
                <w:sz w:val="21"/>
                <w:szCs w:val="21"/>
              </w:rPr>
              <w:t>最大积雪深度</w:t>
            </w:r>
          </w:p>
        </w:tc>
        <w:tc>
          <w:tcPr>
            <w:tcW w:w="900" w:type="dxa"/>
            <w:noWrap w:val="0"/>
            <w:vAlign w:val="center"/>
          </w:tcPr>
          <w:p w14:paraId="6278DB01">
            <w:pPr>
              <w:tabs>
                <w:tab w:val="left" w:pos="525"/>
              </w:tabs>
              <w:spacing w:line="360" w:lineRule="auto"/>
              <w:rPr>
                <w:rFonts w:ascii="宋体" w:hAnsi="宋体"/>
                <w:sz w:val="21"/>
                <w:szCs w:val="21"/>
              </w:rPr>
            </w:pPr>
            <w:r>
              <w:rPr>
                <w:rFonts w:ascii="宋体" w:hAnsi="宋体"/>
                <w:sz w:val="21"/>
                <w:szCs w:val="21"/>
              </w:rPr>
              <w:t>cm</w:t>
            </w:r>
          </w:p>
        </w:tc>
        <w:tc>
          <w:tcPr>
            <w:tcW w:w="1260" w:type="dxa"/>
            <w:noWrap w:val="0"/>
            <w:vAlign w:val="center"/>
          </w:tcPr>
          <w:p w14:paraId="104C3CB5">
            <w:pPr>
              <w:tabs>
                <w:tab w:val="left" w:pos="525"/>
              </w:tabs>
              <w:spacing w:line="360" w:lineRule="auto"/>
              <w:rPr>
                <w:rFonts w:ascii="宋体" w:hAnsi="宋体"/>
                <w:sz w:val="21"/>
                <w:szCs w:val="21"/>
              </w:rPr>
            </w:pPr>
            <w:r>
              <w:rPr>
                <w:rFonts w:ascii="宋体" w:hAnsi="宋体"/>
                <w:sz w:val="21"/>
                <w:szCs w:val="21"/>
              </w:rPr>
              <w:t>33</w:t>
            </w:r>
          </w:p>
        </w:tc>
        <w:tc>
          <w:tcPr>
            <w:tcW w:w="1622" w:type="dxa"/>
            <w:noWrap w:val="0"/>
            <w:vAlign w:val="center"/>
          </w:tcPr>
          <w:p w14:paraId="457B3002">
            <w:pPr>
              <w:tabs>
                <w:tab w:val="left" w:pos="525"/>
              </w:tabs>
              <w:spacing w:line="360" w:lineRule="auto"/>
              <w:rPr>
                <w:rFonts w:ascii="宋体" w:hAnsi="宋体"/>
                <w:sz w:val="21"/>
                <w:szCs w:val="21"/>
              </w:rPr>
            </w:pPr>
            <w:r>
              <w:rPr>
                <w:rFonts w:ascii="宋体" w:hAnsi="宋体"/>
                <w:sz w:val="21"/>
                <w:szCs w:val="21"/>
              </w:rPr>
              <w:t>71.12.24</w:t>
            </w:r>
          </w:p>
        </w:tc>
        <w:tc>
          <w:tcPr>
            <w:tcW w:w="1622" w:type="dxa"/>
            <w:noWrap w:val="0"/>
            <w:vAlign w:val="center"/>
          </w:tcPr>
          <w:p w14:paraId="107A2C06">
            <w:pPr>
              <w:tabs>
                <w:tab w:val="left" w:pos="525"/>
              </w:tabs>
              <w:spacing w:line="360" w:lineRule="auto"/>
              <w:rPr>
                <w:rFonts w:ascii="宋体" w:hAnsi="宋体"/>
                <w:sz w:val="21"/>
                <w:szCs w:val="21"/>
              </w:rPr>
            </w:pPr>
            <w:r>
              <w:rPr>
                <w:rFonts w:ascii="宋体" w:hAnsi="宋体"/>
                <w:sz w:val="21"/>
                <w:szCs w:val="21"/>
              </w:rPr>
              <w:t>建站～2005</w:t>
            </w:r>
          </w:p>
        </w:tc>
      </w:tr>
      <w:tr w14:paraId="0BC1D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2B94007">
            <w:pPr>
              <w:tabs>
                <w:tab w:val="left" w:pos="525"/>
              </w:tabs>
              <w:spacing w:line="360" w:lineRule="auto"/>
              <w:ind w:firstLine="420" w:firstLineChars="200"/>
              <w:rPr>
                <w:rFonts w:ascii="宋体" w:hAnsi="宋体"/>
                <w:sz w:val="21"/>
                <w:szCs w:val="21"/>
              </w:rPr>
            </w:pPr>
            <w:r>
              <w:rPr>
                <w:rFonts w:hint="eastAsia" w:ascii="宋体" w:hAnsi="宋体"/>
                <w:sz w:val="21"/>
                <w:szCs w:val="21"/>
              </w:rPr>
              <w:t>12</w:t>
            </w:r>
          </w:p>
        </w:tc>
        <w:tc>
          <w:tcPr>
            <w:tcW w:w="2629" w:type="dxa"/>
            <w:noWrap w:val="0"/>
            <w:vAlign w:val="center"/>
          </w:tcPr>
          <w:p w14:paraId="60E3D600">
            <w:pPr>
              <w:tabs>
                <w:tab w:val="left" w:pos="525"/>
              </w:tabs>
              <w:spacing w:line="360" w:lineRule="auto"/>
              <w:rPr>
                <w:rFonts w:ascii="宋体" w:hAnsi="宋体"/>
                <w:sz w:val="21"/>
                <w:szCs w:val="21"/>
              </w:rPr>
            </w:pPr>
            <w:r>
              <w:rPr>
                <w:rFonts w:ascii="宋体" w:hAnsi="宋体"/>
                <w:sz w:val="21"/>
                <w:szCs w:val="21"/>
              </w:rPr>
              <w:t>最大冻土厚度</w:t>
            </w:r>
          </w:p>
        </w:tc>
        <w:tc>
          <w:tcPr>
            <w:tcW w:w="900" w:type="dxa"/>
            <w:noWrap w:val="0"/>
            <w:vAlign w:val="center"/>
          </w:tcPr>
          <w:p w14:paraId="7FBC8447">
            <w:pPr>
              <w:tabs>
                <w:tab w:val="left" w:pos="525"/>
              </w:tabs>
              <w:spacing w:line="360" w:lineRule="auto"/>
              <w:rPr>
                <w:rFonts w:ascii="宋体" w:hAnsi="宋体"/>
                <w:sz w:val="21"/>
                <w:szCs w:val="21"/>
              </w:rPr>
            </w:pPr>
            <w:r>
              <w:rPr>
                <w:rFonts w:ascii="宋体" w:hAnsi="宋体"/>
                <w:sz w:val="21"/>
                <w:szCs w:val="21"/>
              </w:rPr>
              <w:t>cm</w:t>
            </w:r>
          </w:p>
        </w:tc>
        <w:tc>
          <w:tcPr>
            <w:tcW w:w="1260" w:type="dxa"/>
            <w:noWrap w:val="0"/>
            <w:vAlign w:val="center"/>
          </w:tcPr>
          <w:p w14:paraId="6FCFB8A1">
            <w:pPr>
              <w:tabs>
                <w:tab w:val="left" w:pos="525"/>
              </w:tabs>
              <w:spacing w:line="360" w:lineRule="auto"/>
              <w:rPr>
                <w:rFonts w:ascii="宋体" w:hAnsi="宋体"/>
                <w:sz w:val="21"/>
                <w:szCs w:val="21"/>
              </w:rPr>
            </w:pPr>
            <w:r>
              <w:rPr>
                <w:rFonts w:ascii="宋体" w:hAnsi="宋体"/>
                <w:sz w:val="21"/>
                <w:szCs w:val="21"/>
              </w:rPr>
              <w:t>18</w:t>
            </w:r>
          </w:p>
        </w:tc>
        <w:tc>
          <w:tcPr>
            <w:tcW w:w="1622" w:type="dxa"/>
            <w:noWrap w:val="0"/>
            <w:vAlign w:val="center"/>
          </w:tcPr>
          <w:p w14:paraId="0EDC87CF">
            <w:pPr>
              <w:tabs>
                <w:tab w:val="left" w:pos="525"/>
              </w:tabs>
              <w:spacing w:line="360" w:lineRule="auto"/>
              <w:rPr>
                <w:rFonts w:ascii="宋体" w:hAnsi="宋体"/>
                <w:sz w:val="21"/>
                <w:szCs w:val="21"/>
              </w:rPr>
            </w:pPr>
            <w:r>
              <w:rPr>
                <w:rFonts w:ascii="宋体" w:hAnsi="宋体"/>
                <w:sz w:val="21"/>
                <w:szCs w:val="21"/>
              </w:rPr>
              <w:t>77.1.7</w:t>
            </w:r>
          </w:p>
        </w:tc>
        <w:tc>
          <w:tcPr>
            <w:tcW w:w="1622" w:type="dxa"/>
            <w:noWrap w:val="0"/>
            <w:vAlign w:val="center"/>
          </w:tcPr>
          <w:p w14:paraId="44D492CB">
            <w:pPr>
              <w:tabs>
                <w:tab w:val="left" w:pos="525"/>
              </w:tabs>
              <w:spacing w:line="360" w:lineRule="auto"/>
              <w:rPr>
                <w:rFonts w:ascii="宋体" w:hAnsi="宋体"/>
                <w:sz w:val="21"/>
                <w:szCs w:val="21"/>
              </w:rPr>
            </w:pPr>
            <w:r>
              <w:rPr>
                <w:rFonts w:ascii="宋体" w:hAnsi="宋体"/>
                <w:sz w:val="21"/>
                <w:szCs w:val="21"/>
              </w:rPr>
              <w:t>建站～2005</w:t>
            </w:r>
          </w:p>
        </w:tc>
      </w:tr>
      <w:tr w14:paraId="1EF64A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AB346D1">
            <w:pPr>
              <w:tabs>
                <w:tab w:val="left" w:pos="525"/>
              </w:tabs>
              <w:spacing w:line="360" w:lineRule="auto"/>
              <w:ind w:firstLine="420" w:firstLineChars="200"/>
              <w:rPr>
                <w:rFonts w:ascii="宋体" w:hAnsi="宋体"/>
                <w:sz w:val="21"/>
                <w:szCs w:val="21"/>
              </w:rPr>
            </w:pPr>
            <w:r>
              <w:rPr>
                <w:rFonts w:hint="eastAsia" w:ascii="宋体" w:hAnsi="宋体"/>
                <w:sz w:val="21"/>
                <w:szCs w:val="21"/>
              </w:rPr>
              <w:t>13</w:t>
            </w:r>
          </w:p>
        </w:tc>
        <w:tc>
          <w:tcPr>
            <w:tcW w:w="2629" w:type="dxa"/>
            <w:noWrap w:val="0"/>
            <w:vAlign w:val="center"/>
          </w:tcPr>
          <w:p w14:paraId="31476886">
            <w:pPr>
              <w:tabs>
                <w:tab w:val="left" w:pos="525"/>
              </w:tabs>
              <w:spacing w:line="360" w:lineRule="auto"/>
              <w:rPr>
                <w:rFonts w:ascii="宋体" w:hAnsi="宋体"/>
                <w:sz w:val="21"/>
                <w:szCs w:val="21"/>
              </w:rPr>
            </w:pPr>
            <w:r>
              <w:rPr>
                <w:rFonts w:ascii="宋体" w:hAnsi="宋体"/>
                <w:sz w:val="21"/>
                <w:szCs w:val="21"/>
              </w:rPr>
              <w:t>最大年降水量</w:t>
            </w:r>
          </w:p>
        </w:tc>
        <w:tc>
          <w:tcPr>
            <w:tcW w:w="900" w:type="dxa"/>
            <w:noWrap w:val="0"/>
            <w:vAlign w:val="center"/>
          </w:tcPr>
          <w:p w14:paraId="291353E3">
            <w:pPr>
              <w:tabs>
                <w:tab w:val="left" w:pos="525"/>
              </w:tabs>
              <w:spacing w:line="360" w:lineRule="auto"/>
              <w:rPr>
                <w:rFonts w:ascii="宋体" w:hAnsi="宋体"/>
                <w:sz w:val="21"/>
                <w:szCs w:val="21"/>
              </w:rPr>
            </w:pPr>
            <w:r>
              <w:rPr>
                <w:rFonts w:ascii="宋体" w:hAnsi="宋体"/>
                <w:sz w:val="21"/>
                <w:szCs w:val="21"/>
              </w:rPr>
              <w:t>mm</w:t>
            </w:r>
          </w:p>
        </w:tc>
        <w:tc>
          <w:tcPr>
            <w:tcW w:w="1260" w:type="dxa"/>
            <w:noWrap w:val="0"/>
            <w:vAlign w:val="center"/>
          </w:tcPr>
          <w:p w14:paraId="6B5A8054">
            <w:pPr>
              <w:tabs>
                <w:tab w:val="left" w:pos="525"/>
              </w:tabs>
              <w:spacing w:line="360" w:lineRule="auto"/>
              <w:rPr>
                <w:rFonts w:ascii="宋体" w:hAnsi="宋体"/>
                <w:sz w:val="21"/>
                <w:szCs w:val="21"/>
              </w:rPr>
            </w:pPr>
            <w:r>
              <w:rPr>
                <w:rFonts w:ascii="宋体" w:hAnsi="宋体"/>
                <w:sz w:val="21"/>
                <w:szCs w:val="21"/>
              </w:rPr>
              <w:t>948.5</w:t>
            </w:r>
          </w:p>
        </w:tc>
        <w:tc>
          <w:tcPr>
            <w:tcW w:w="1622" w:type="dxa"/>
            <w:noWrap w:val="0"/>
            <w:vAlign w:val="center"/>
          </w:tcPr>
          <w:p w14:paraId="4028B8C9">
            <w:pPr>
              <w:tabs>
                <w:tab w:val="left" w:pos="525"/>
              </w:tabs>
              <w:spacing w:line="360" w:lineRule="auto"/>
              <w:rPr>
                <w:rFonts w:ascii="宋体" w:hAnsi="宋体"/>
                <w:sz w:val="21"/>
                <w:szCs w:val="21"/>
              </w:rPr>
            </w:pPr>
            <w:r>
              <w:rPr>
                <w:rFonts w:ascii="宋体" w:hAnsi="宋体"/>
                <w:sz w:val="21"/>
                <w:szCs w:val="21"/>
              </w:rPr>
              <w:t>1973</w:t>
            </w:r>
          </w:p>
        </w:tc>
        <w:tc>
          <w:tcPr>
            <w:tcW w:w="1622" w:type="dxa"/>
            <w:noWrap w:val="0"/>
            <w:vAlign w:val="center"/>
          </w:tcPr>
          <w:p w14:paraId="54CF5E00">
            <w:pPr>
              <w:tabs>
                <w:tab w:val="left" w:pos="525"/>
              </w:tabs>
              <w:spacing w:line="360" w:lineRule="auto"/>
              <w:rPr>
                <w:rFonts w:ascii="宋体" w:hAnsi="宋体"/>
                <w:sz w:val="21"/>
                <w:szCs w:val="21"/>
              </w:rPr>
            </w:pPr>
            <w:r>
              <w:rPr>
                <w:rFonts w:ascii="宋体" w:hAnsi="宋体"/>
                <w:sz w:val="21"/>
                <w:szCs w:val="21"/>
              </w:rPr>
              <w:t>建站～2005</w:t>
            </w:r>
          </w:p>
        </w:tc>
      </w:tr>
      <w:tr w14:paraId="69FF48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F36408E">
            <w:pPr>
              <w:tabs>
                <w:tab w:val="left" w:pos="525"/>
              </w:tabs>
              <w:spacing w:line="360" w:lineRule="auto"/>
              <w:ind w:firstLine="420" w:firstLineChars="200"/>
              <w:rPr>
                <w:rFonts w:ascii="宋体" w:hAnsi="宋体"/>
                <w:sz w:val="21"/>
                <w:szCs w:val="21"/>
              </w:rPr>
            </w:pPr>
            <w:r>
              <w:rPr>
                <w:rFonts w:hint="eastAsia" w:ascii="宋体" w:hAnsi="宋体"/>
                <w:sz w:val="21"/>
                <w:szCs w:val="21"/>
              </w:rPr>
              <w:t>14</w:t>
            </w:r>
          </w:p>
        </w:tc>
        <w:tc>
          <w:tcPr>
            <w:tcW w:w="2629" w:type="dxa"/>
            <w:noWrap w:val="0"/>
            <w:vAlign w:val="center"/>
          </w:tcPr>
          <w:p w14:paraId="17CE3F3E">
            <w:pPr>
              <w:tabs>
                <w:tab w:val="left" w:pos="525"/>
              </w:tabs>
              <w:spacing w:line="360" w:lineRule="auto"/>
              <w:rPr>
                <w:rFonts w:ascii="宋体" w:hAnsi="宋体"/>
                <w:sz w:val="21"/>
                <w:szCs w:val="21"/>
              </w:rPr>
            </w:pPr>
            <w:r>
              <w:rPr>
                <w:rFonts w:ascii="宋体" w:hAnsi="宋体"/>
                <w:sz w:val="21"/>
                <w:szCs w:val="21"/>
              </w:rPr>
              <w:t>年最多雷暴日数</w:t>
            </w:r>
          </w:p>
        </w:tc>
        <w:tc>
          <w:tcPr>
            <w:tcW w:w="900" w:type="dxa"/>
            <w:noWrap w:val="0"/>
            <w:vAlign w:val="center"/>
          </w:tcPr>
          <w:p w14:paraId="054EA686">
            <w:pPr>
              <w:tabs>
                <w:tab w:val="left" w:pos="525"/>
              </w:tabs>
              <w:spacing w:line="360" w:lineRule="auto"/>
              <w:rPr>
                <w:rFonts w:ascii="宋体" w:hAnsi="宋体"/>
                <w:sz w:val="21"/>
                <w:szCs w:val="21"/>
              </w:rPr>
            </w:pPr>
            <w:r>
              <w:rPr>
                <w:rFonts w:ascii="宋体" w:hAnsi="宋体"/>
                <w:sz w:val="21"/>
                <w:szCs w:val="21"/>
              </w:rPr>
              <w:t>d</w:t>
            </w:r>
          </w:p>
        </w:tc>
        <w:tc>
          <w:tcPr>
            <w:tcW w:w="1260" w:type="dxa"/>
            <w:noWrap w:val="0"/>
            <w:vAlign w:val="center"/>
          </w:tcPr>
          <w:p w14:paraId="5177B841">
            <w:pPr>
              <w:tabs>
                <w:tab w:val="left" w:pos="525"/>
              </w:tabs>
              <w:spacing w:line="360" w:lineRule="auto"/>
              <w:rPr>
                <w:rFonts w:ascii="宋体" w:hAnsi="宋体"/>
                <w:sz w:val="21"/>
                <w:szCs w:val="21"/>
              </w:rPr>
            </w:pPr>
            <w:r>
              <w:rPr>
                <w:rFonts w:ascii="宋体" w:hAnsi="宋体"/>
                <w:sz w:val="21"/>
                <w:szCs w:val="21"/>
              </w:rPr>
              <w:t>37</w:t>
            </w:r>
          </w:p>
        </w:tc>
        <w:tc>
          <w:tcPr>
            <w:tcW w:w="1622" w:type="dxa"/>
            <w:noWrap w:val="0"/>
            <w:vAlign w:val="center"/>
          </w:tcPr>
          <w:p w14:paraId="60502C9D">
            <w:pPr>
              <w:tabs>
                <w:tab w:val="left" w:pos="525"/>
              </w:tabs>
              <w:spacing w:line="360" w:lineRule="auto"/>
              <w:rPr>
                <w:rFonts w:ascii="宋体" w:hAnsi="宋体"/>
                <w:sz w:val="21"/>
                <w:szCs w:val="21"/>
              </w:rPr>
            </w:pPr>
            <w:r>
              <w:rPr>
                <w:rFonts w:ascii="宋体" w:hAnsi="宋体"/>
                <w:sz w:val="21"/>
                <w:szCs w:val="21"/>
              </w:rPr>
              <w:t>1977</w:t>
            </w:r>
          </w:p>
        </w:tc>
        <w:tc>
          <w:tcPr>
            <w:tcW w:w="1622" w:type="dxa"/>
            <w:noWrap w:val="0"/>
            <w:vAlign w:val="center"/>
          </w:tcPr>
          <w:p w14:paraId="6EEE27F0">
            <w:pPr>
              <w:tabs>
                <w:tab w:val="left" w:pos="525"/>
              </w:tabs>
              <w:spacing w:line="360" w:lineRule="auto"/>
              <w:rPr>
                <w:rFonts w:ascii="宋体" w:hAnsi="宋体"/>
                <w:sz w:val="21"/>
                <w:szCs w:val="21"/>
              </w:rPr>
            </w:pPr>
            <w:r>
              <w:rPr>
                <w:rFonts w:ascii="宋体" w:hAnsi="宋体"/>
                <w:sz w:val="21"/>
                <w:szCs w:val="21"/>
              </w:rPr>
              <w:t>建站～2005</w:t>
            </w:r>
          </w:p>
        </w:tc>
      </w:tr>
    </w:tbl>
    <w:p w14:paraId="646DA0AE">
      <w:pPr>
        <w:ind w:firstLine="570"/>
        <w:rPr>
          <w:sz w:val="21"/>
          <w:szCs w:val="21"/>
        </w:rPr>
      </w:pPr>
    </w:p>
    <w:p w14:paraId="3F0DAA11">
      <w:pPr>
        <w:ind w:firstLine="570"/>
        <w:rPr>
          <w:rFonts w:hint="eastAsia"/>
          <w:sz w:val="21"/>
          <w:szCs w:val="21"/>
        </w:rPr>
      </w:pPr>
      <w:r>
        <w:rPr>
          <w:rFonts w:hint="eastAsia"/>
          <w:sz w:val="21"/>
          <w:szCs w:val="21"/>
        </w:rPr>
        <w:t>2.2.2地震烈度</w:t>
      </w:r>
    </w:p>
    <w:p w14:paraId="21DAFC82">
      <w:pPr>
        <w:adjustRightInd w:val="0"/>
        <w:spacing w:line="360" w:lineRule="auto"/>
        <w:ind w:firstLine="420" w:firstLineChars="200"/>
        <w:jc w:val="left"/>
        <w:textAlignment w:val="baseline"/>
        <w:rPr>
          <w:rFonts w:hint="eastAsia"/>
          <w:sz w:val="21"/>
          <w:szCs w:val="21"/>
        </w:rPr>
      </w:pPr>
      <w:r>
        <w:rPr>
          <w:rFonts w:hint="eastAsia" w:ascii="宋体" w:hAnsi="宋体"/>
          <w:kern w:val="0"/>
          <w:sz w:val="21"/>
          <w:szCs w:val="21"/>
        </w:rPr>
        <w:t>根据中国地震局地球物理勘探中心郑州基础工程勘察研究院编写的《万基控股集团2×60万千瓦机组“上大压小”工程场地地震安全性评价报告》，本项目工程场地50年超越概率10%水平地震动峰值加速度为86.1gal(0.088g)；场地覆盖层厚度38m</w:t>
      </w:r>
      <w:r>
        <w:rPr>
          <w:rFonts w:ascii="宋体" w:hAnsi="宋体"/>
          <w:kern w:val="0"/>
          <w:sz w:val="21"/>
          <w:szCs w:val="21"/>
        </w:rPr>
        <w:t>～</w:t>
      </w:r>
      <w:r>
        <w:rPr>
          <w:rFonts w:hint="eastAsia" w:ascii="宋体" w:hAnsi="宋体"/>
          <w:kern w:val="0"/>
          <w:sz w:val="21"/>
          <w:szCs w:val="21"/>
        </w:rPr>
        <w:t>39m，等效剪切波速244.8m/s</w:t>
      </w:r>
      <w:r>
        <w:rPr>
          <w:rFonts w:ascii="宋体" w:hAnsi="宋体"/>
          <w:kern w:val="0"/>
          <w:sz w:val="21"/>
          <w:szCs w:val="21"/>
        </w:rPr>
        <w:t>～</w:t>
      </w:r>
      <w:r>
        <w:rPr>
          <w:rFonts w:hint="eastAsia" w:ascii="宋体" w:hAnsi="宋体"/>
          <w:kern w:val="0"/>
          <w:sz w:val="21"/>
          <w:szCs w:val="21"/>
        </w:rPr>
        <w:t>250.0m/s，场地土类型为中软土，建筑场地类别为Ⅱ类。</w:t>
      </w:r>
      <w:r>
        <w:rPr>
          <w:rFonts w:hint="eastAsia" w:hAnsi="宋体"/>
          <w:kern w:val="0"/>
          <w:sz w:val="21"/>
          <w:szCs w:val="21"/>
        </w:rPr>
        <w:t>主厂房地震作用按抗震设防烈度6度计算，按7度采取抗震措施。</w:t>
      </w:r>
    </w:p>
    <w:p w14:paraId="64C3576F">
      <w:pPr>
        <w:snapToGrid w:val="0"/>
        <w:spacing w:line="360" w:lineRule="auto"/>
        <w:outlineLvl w:val="0"/>
        <w:rPr>
          <w:rFonts w:hint="eastAsia"/>
          <w:szCs w:val="21"/>
        </w:rPr>
      </w:pPr>
      <w:r>
        <w:rPr>
          <w:rFonts w:hint="eastAsia"/>
          <w:szCs w:val="21"/>
        </w:rPr>
        <w:t>2.3</w:t>
      </w:r>
      <w:r>
        <w:rPr>
          <w:rFonts w:hint="eastAsia"/>
          <w:szCs w:val="21"/>
        </w:rPr>
        <w:tab/>
      </w:r>
      <w:r>
        <w:rPr>
          <w:rFonts w:hint="eastAsia"/>
          <w:szCs w:val="21"/>
        </w:rPr>
        <w:tab/>
      </w:r>
      <w:r>
        <w:rPr>
          <w:rFonts w:hint="eastAsia"/>
          <w:szCs w:val="21"/>
        </w:rPr>
        <w:t>工程条件</w:t>
      </w:r>
      <w:bookmarkEnd w:id="14"/>
    </w:p>
    <w:p w14:paraId="4A6A99AF">
      <w:pPr>
        <w:snapToGrid w:val="0"/>
        <w:spacing w:line="360" w:lineRule="auto"/>
        <w:rPr>
          <w:rFonts w:hint="eastAsia"/>
          <w:szCs w:val="21"/>
        </w:rPr>
      </w:pPr>
      <w:r>
        <w:rPr>
          <w:rFonts w:hint="eastAsia"/>
          <w:szCs w:val="21"/>
        </w:rPr>
        <w:t>2.3.1</w:t>
      </w:r>
      <w:r>
        <w:rPr>
          <w:rFonts w:hint="eastAsia"/>
          <w:szCs w:val="21"/>
        </w:rPr>
        <w:tab/>
      </w:r>
      <w:r>
        <w:rPr>
          <w:rFonts w:hint="eastAsia"/>
          <w:szCs w:val="21"/>
        </w:rPr>
        <w:t>工程概况</w:t>
      </w:r>
    </w:p>
    <w:p w14:paraId="6DB70274">
      <w:pPr>
        <w:tabs>
          <w:tab w:val="left" w:pos="90"/>
        </w:tabs>
        <w:snapToGrid w:val="0"/>
        <w:spacing w:line="360" w:lineRule="auto"/>
        <w:ind w:firstLine="420" w:firstLineChars="200"/>
        <w:rPr>
          <w:rFonts w:hint="eastAsia" w:ascii="Arial" w:cs="Arial"/>
          <w:color w:val="000000"/>
          <w:szCs w:val="21"/>
        </w:rPr>
      </w:pPr>
      <w:r>
        <w:rPr>
          <w:rFonts w:hint="eastAsia" w:ascii="Arial" w:cs="Arial"/>
          <w:color w:val="000000"/>
          <w:szCs w:val="21"/>
        </w:rPr>
        <w:t xml:space="preserve"> </w:t>
      </w:r>
      <w:r>
        <w:rPr>
          <w:rFonts w:hint="eastAsia"/>
          <w:color w:val="000000"/>
        </w:rPr>
        <w:t>万基宏远电厂位于河南省洛阳市新安县铁门镇庙头村，南距陇海铁路700m，北距310国道170m，东距洛阳市40km，交通十分方便。</w:t>
      </w:r>
      <w:r>
        <w:rPr>
          <w:rFonts w:hint="eastAsia"/>
          <w:color w:val="000000"/>
          <w:highlight w:val="none"/>
        </w:rPr>
        <w:t>2025年完成两台燃煤超超临界660MW凝汽式汽轮发电机组建设投运</w:t>
      </w:r>
      <w:r>
        <w:rPr>
          <w:rFonts w:hint="eastAsia" w:ascii="宋体"/>
          <w:highlight w:val="none"/>
        </w:rPr>
        <w:t>；</w:t>
      </w:r>
      <w:r>
        <w:rPr>
          <w:rFonts w:hint="eastAsia" w:ascii="Arial" w:cs="Arial"/>
          <w:color w:val="000000"/>
          <w:szCs w:val="21"/>
          <w:highlight w:val="none"/>
        </w:rPr>
        <w:t>循环水泵为2台/机组，</w:t>
      </w:r>
      <w:r>
        <w:rPr>
          <w:rFonts w:hint="eastAsia"/>
          <w:color w:val="000000"/>
          <w:highlight w:val="none"/>
        </w:rPr>
        <w:t>夏季2台运行，冬季</w:t>
      </w:r>
      <w:r>
        <w:rPr>
          <w:rFonts w:hint="eastAsia"/>
          <w:color w:val="000000"/>
        </w:rPr>
        <w:t>1台运行1台备用</w:t>
      </w:r>
      <w:r>
        <w:rPr>
          <w:rFonts w:hint="eastAsia" w:ascii="Arial" w:cs="Arial"/>
          <w:color w:val="000000"/>
          <w:szCs w:val="21"/>
        </w:rPr>
        <w:t>。</w:t>
      </w:r>
    </w:p>
    <w:p w14:paraId="0C4794E3">
      <w:pPr>
        <w:rPr>
          <w:rFonts w:hint="eastAsia" w:ascii="宋体"/>
          <w:color w:val="auto"/>
          <w:sz w:val="21"/>
          <w:szCs w:val="21"/>
        </w:rPr>
      </w:pPr>
      <w:r>
        <w:rPr>
          <w:rFonts w:hint="eastAsia" w:ascii="Arial" w:cs="Arial"/>
          <w:color w:val="auto"/>
          <w:szCs w:val="21"/>
        </w:rPr>
        <w:t xml:space="preserve">2.3.2 </w:t>
      </w:r>
      <w:r>
        <w:rPr>
          <w:rFonts w:hint="eastAsia"/>
          <w:color w:val="auto"/>
          <w:sz w:val="21"/>
          <w:szCs w:val="21"/>
          <w:lang w:val="en-US" w:eastAsia="zh-CN"/>
        </w:rPr>
        <w:t>循环水泵</w:t>
      </w:r>
      <w:r>
        <w:rPr>
          <w:rFonts w:hint="eastAsia"/>
          <w:color w:val="auto"/>
          <w:sz w:val="21"/>
          <w:szCs w:val="21"/>
        </w:rPr>
        <w:t>电机技术参数</w:t>
      </w:r>
    </w:p>
    <w:tbl>
      <w:tblPr>
        <w:tblStyle w:val="59"/>
        <w:tblW w:w="9080"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1880"/>
        <w:gridCol w:w="2360"/>
        <w:gridCol w:w="2340"/>
      </w:tblGrid>
      <w:tr w14:paraId="416C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gridSpan w:val="2"/>
            <w:noWrap w:val="0"/>
            <w:vAlign w:val="top"/>
          </w:tcPr>
          <w:p w14:paraId="243FBAE2">
            <w:pPr>
              <w:tabs>
                <w:tab w:val="left" w:pos="560"/>
              </w:tabs>
              <w:jc w:val="center"/>
              <w:rPr>
                <w:rFonts w:hint="eastAsia" w:ascii="宋体"/>
                <w:color w:val="auto"/>
                <w:sz w:val="21"/>
                <w:szCs w:val="21"/>
              </w:rPr>
            </w:pPr>
            <w:r>
              <w:rPr>
                <w:rFonts w:hint="eastAsia" w:ascii="宋体"/>
                <w:color w:val="auto"/>
                <w:sz w:val="21"/>
                <w:szCs w:val="21"/>
              </w:rPr>
              <w:t>项          目</w:t>
            </w:r>
          </w:p>
        </w:tc>
        <w:tc>
          <w:tcPr>
            <w:tcW w:w="2360" w:type="dxa"/>
            <w:noWrap w:val="0"/>
            <w:vAlign w:val="top"/>
          </w:tcPr>
          <w:p w14:paraId="44E3437D">
            <w:pPr>
              <w:tabs>
                <w:tab w:val="left" w:pos="560"/>
              </w:tabs>
              <w:jc w:val="center"/>
              <w:rPr>
                <w:rFonts w:hint="eastAsia" w:ascii="宋体"/>
                <w:color w:val="auto"/>
                <w:sz w:val="21"/>
                <w:szCs w:val="21"/>
              </w:rPr>
            </w:pPr>
            <w:r>
              <w:rPr>
                <w:rFonts w:hint="eastAsia" w:ascii="宋体"/>
                <w:color w:val="auto"/>
                <w:sz w:val="21"/>
                <w:szCs w:val="21"/>
              </w:rPr>
              <w:t>单  位</w:t>
            </w:r>
          </w:p>
        </w:tc>
        <w:tc>
          <w:tcPr>
            <w:tcW w:w="2340" w:type="dxa"/>
            <w:noWrap w:val="0"/>
            <w:vAlign w:val="top"/>
          </w:tcPr>
          <w:p w14:paraId="35DFCBA0">
            <w:pPr>
              <w:tabs>
                <w:tab w:val="left" w:pos="560"/>
              </w:tabs>
              <w:jc w:val="center"/>
              <w:rPr>
                <w:rFonts w:hint="eastAsia" w:ascii="宋体"/>
                <w:color w:val="auto"/>
                <w:sz w:val="21"/>
                <w:szCs w:val="21"/>
              </w:rPr>
            </w:pPr>
            <w:r>
              <w:rPr>
                <w:rFonts w:hint="eastAsia" w:ascii="宋体"/>
                <w:color w:val="auto"/>
                <w:sz w:val="21"/>
                <w:szCs w:val="21"/>
              </w:rPr>
              <w:t>数   据</w:t>
            </w:r>
          </w:p>
        </w:tc>
      </w:tr>
      <w:tr w14:paraId="7E85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0" w:type="dxa"/>
            <w:gridSpan w:val="2"/>
            <w:noWrap w:val="0"/>
            <w:vAlign w:val="top"/>
          </w:tcPr>
          <w:p w14:paraId="6BC0AD74">
            <w:pPr>
              <w:tabs>
                <w:tab w:val="left" w:pos="560"/>
              </w:tabs>
              <w:rPr>
                <w:rFonts w:hint="eastAsia" w:ascii="宋体"/>
                <w:color w:val="auto"/>
                <w:sz w:val="21"/>
                <w:szCs w:val="21"/>
              </w:rPr>
            </w:pPr>
            <w:r>
              <w:rPr>
                <w:rFonts w:hint="eastAsia" w:ascii="宋体"/>
                <w:color w:val="auto"/>
                <w:sz w:val="21"/>
                <w:szCs w:val="21"/>
              </w:rPr>
              <w:t>型  号</w:t>
            </w:r>
          </w:p>
        </w:tc>
        <w:tc>
          <w:tcPr>
            <w:tcW w:w="4700" w:type="dxa"/>
            <w:gridSpan w:val="2"/>
            <w:noWrap w:val="0"/>
            <w:vAlign w:val="top"/>
          </w:tcPr>
          <w:p w14:paraId="2AA28365">
            <w:pPr>
              <w:tabs>
                <w:tab w:val="left" w:pos="560"/>
              </w:tabs>
              <w:rPr>
                <w:rFonts w:hint="eastAsia" w:ascii="宋体"/>
                <w:color w:val="auto"/>
                <w:sz w:val="21"/>
                <w:szCs w:val="21"/>
              </w:rPr>
            </w:pPr>
            <w:r>
              <w:rPr>
                <w:rFonts w:hint="eastAsia" w:ascii="宋体"/>
                <w:color w:val="auto"/>
                <w:sz w:val="21"/>
                <w:szCs w:val="21"/>
              </w:rPr>
              <w:t>YKSLD3600/2625-16/18/1850-1</w:t>
            </w:r>
          </w:p>
        </w:tc>
      </w:tr>
      <w:tr w14:paraId="4B2E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gridSpan w:val="2"/>
            <w:noWrap w:val="0"/>
            <w:vAlign w:val="top"/>
          </w:tcPr>
          <w:p w14:paraId="29085217">
            <w:pPr>
              <w:tabs>
                <w:tab w:val="left" w:pos="560"/>
              </w:tabs>
              <w:rPr>
                <w:rFonts w:hint="eastAsia" w:ascii="宋体"/>
                <w:color w:val="auto"/>
                <w:sz w:val="21"/>
                <w:szCs w:val="21"/>
              </w:rPr>
            </w:pPr>
            <w:r>
              <w:rPr>
                <w:rFonts w:hint="eastAsia" w:ascii="宋体"/>
                <w:color w:val="auto"/>
                <w:sz w:val="21"/>
                <w:szCs w:val="21"/>
              </w:rPr>
              <w:t>额定功率</w:t>
            </w:r>
          </w:p>
        </w:tc>
        <w:tc>
          <w:tcPr>
            <w:tcW w:w="2360" w:type="dxa"/>
            <w:noWrap w:val="0"/>
            <w:vAlign w:val="top"/>
          </w:tcPr>
          <w:p w14:paraId="0589C8F1">
            <w:pPr>
              <w:tabs>
                <w:tab w:val="left" w:pos="560"/>
              </w:tabs>
              <w:jc w:val="center"/>
              <w:rPr>
                <w:rFonts w:hint="eastAsia" w:ascii="宋体"/>
                <w:color w:val="auto"/>
                <w:sz w:val="21"/>
                <w:szCs w:val="21"/>
              </w:rPr>
            </w:pPr>
            <w:r>
              <w:rPr>
                <w:rFonts w:hint="eastAsia" w:ascii="宋体"/>
                <w:color w:val="auto"/>
                <w:sz w:val="21"/>
                <w:szCs w:val="21"/>
              </w:rPr>
              <w:t>KW</w:t>
            </w:r>
          </w:p>
        </w:tc>
        <w:tc>
          <w:tcPr>
            <w:tcW w:w="2340" w:type="dxa"/>
            <w:noWrap w:val="0"/>
            <w:vAlign w:val="top"/>
          </w:tcPr>
          <w:p w14:paraId="40279D97">
            <w:pPr>
              <w:tabs>
                <w:tab w:val="left" w:pos="560"/>
              </w:tabs>
              <w:jc w:val="center"/>
              <w:rPr>
                <w:rFonts w:hint="default" w:ascii="宋体" w:eastAsia="宋体"/>
                <w:color w:val="auto"/>
                <w:sz w:val="21"/>
                <w:szCs w:val="21"/>
                <w:lang w:val="en-US" w:eastAsia="zh-CN"/>
              </w:rPr>
            </w:pPr>
            <w:r>
              <w:rPr>
                <w:rFonts w:hint="eastAsia" w:ascii="宋体"/>
                <w:color w:val="auto"/>
                <w:sz w:val="21"/>
                <w:szCs w:val="21"/>
                <w:lang w:val="en-US" w:eastAsia="zh-CN"/>
              </w:rPr>
              <w:t>3600</w:t>
            </w:r>
          </w:p>
        </w:tc>
      </w:tr>
      <w:tr w14:paraId="070E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gridSpan w:val="2"/>
            <w:noWrap w:val="0"/>
            <w:vAlign w:val="top"/>
          </w:tcPr>
          <w:p w14:paraId="506E82CD">
            <w:pPr>
              <w:tabs>
                <w:tab w:val="left" w:pos="560"/>
              </w:tabs>
              <w:rPr>
                <w:rFonts w:hint="eastAsia" w:ascii="宋体"/>
                <w:color w:val="auto"/>
                <w:kern w:val="2"/>
                <w:sz w:val="21"/>
                <w:szCs w:val="21"/>
                <w:lang w:val="en-US" w:eastAsia="zh-CN" w:bidi="ar-SA"/>
              </w:rPr>
            </w:pPr>
            <w:r>
              <w:rPr>
                <w:rFonts w:hint="eastAsia" w:ascii="宋体"/>
                <w:color w:val="auto"/>
                <w:sz w:val="21"/>
                <w:szCs w:val="21"/>
              </w:rPr>
              <w:t>额定电压</w:t>
            </w:r>
          </w:p>
        </w:tc>
        <w:tc>
          <w:tcPr>
            <w:tcW w:w="2360" w:type="dxa"/>
            <w:noWrap w:val="0"/>
            <w:vAlign w:val="top"/>
          </w:tcPr>
          <w:p w14:paraId="11B15DA5">
            <w:pPr>
              <w:tabs>
                <w:tab w:val="left" w:pos="560"/>
              </w:tabs>
              <w:jc w:val="center"/>
              <w:rPr>
                <w:rFonts w:hint="eastAsia" w:ascii="宋体"/>
                <w:color w:val="auto"/>
                <w:kern w:val="2"/>
                <w:sz w:val="21"/>
                <w:szCs w:val="21"/>
                <w:lang w:val="en-US" w:eastAsia="zh-CN" w:bidi="ar-SA"/>
              </w:rPr>
            </w:pPr>
            <w:r>
              <w:rPr>
                <w:rFonts w:hint="eastAsia" w:ascii="宋体"/>
                <w:color w:val="auto"/>
                <w:sz w:val="21"/>
                <w:szCs w:val="21"/>
              </w:rPr>
              <w:t>KV</w:t>
            </w:r>
          </w:p>
        </w:tc>
        <w:tc>
          <w:tcPr>
            <w:tcW w:w="2340" w:type="dxa"/>
            <w:noWrap w:val="0"/>
            <w:vAlign w:val="top"/>
          </w:tcPr>
          <w:p w14:paraId="176A3A0D">
            <w:pPr>
              <w:tabs>
                <w:tab w:val="left" w:pos="560"/>
              </w:tabs>
              <w:jc w:val="center"/>
              <w:rPr>
                <w:rFonts w:hint="eastAsia" w:ascii="宋体"/>
                <w:color w:val="auto"/>
                <w:kern w:val="2"/>
                <w:sz w:val="21"/>
                <w:szCs w:val="21"/>
                <w:lang w:val="en-US" w:eastAsia="zh-CN" w:bidi="ar-SA"/>
              </w:rPr>
            </w:pPr>
            <w:r>
              <w:rPr>
                <w:rFonts w:hint="eastAsia" w:ascii="宋体"/>
                <w:color w:val="auto"/>
                <w:sz w:val="21"/>
                <w:szCs w:val="21"/>
              </w:rPr>
              <w:t>10</w:t>
            </w:r>
          </w:p>
        </w:tc>
      </w:tr>
      <w:tr w14:paraId="6367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gridSpan w:val="2"/>
            <w:noWrap w:val="0"/>
            <w:vAlign w:val="top"/>
          </w:tcPr>
          <w:p w14:paraId="23B85259">
            <w:pPr>
              <w:tabs>
                <w:tab w:val="left" w:pos="560"/>
              </w:tabs>
              <w:rPr>
                <w:rFonts w:hint="eastAsia" w:ascii="宋体" w:eastAsia="宋体"/>
                <w:color w:val="auto"/>
                <w:sz w:val="21"/>
                <w:szCs w:val="21"/>
                <w:lang w:val="en-US" w:eastAsia="zh-CN"/>
              </w:rPr>
            </w:pPr>
            <w:r>
              <w:rPr>
                <w:rFonts w:hint="eastAsia" w:ascii="宋体"/>
                <w:color w:val="auto"/>
                <w:sz w:val="21"/>
                <w:szCs w:val="21"/>
              </w:rPr>
              <w:t>额定电</w:t>
            </w:r>
            <w:r>
              <w:rPr>
                <w:rFonts w:hint="eastAsia" w:ascii="宋体"/>
                <w:color w:val="auto"/>
                <w:sz w:val="21"/>
                <w:szCs w:val="21"/>
                <w:lang w:val="en-US" w:eastAsia="zh-CN"/>
              </w:rPr>
              <w:t>流</w:t>
            </w:r>
          </w:p>
        </w:tc>
        <w:tc>
          <w:tcPr>
            <w:tcW w:w="2360" w:type="dxa"/>
            <w:noWrap w:val="0"/>
            <w:vAlign w:val="top"/>
          </w:tcPr>
          <w:p w14:paraId="29E5D2F0">
            <w:pPr>
              <w:tabs>
                <w:tab w:val="left" w:pos="560"/>
              </w:tabs>
              <w:jc w:val="center"/>
              <w:rPr>
                <w:rFonts w:hint="eastAsia" w:ascii="宋体" w:eastAsia="宋体"/>
                <w:color w:val="auto"/>
                <w:sz w:val="21"/>
                <w:szCs w:val="21"/>
                <w:lang w:eastAsia="zh-CN"/>
              </w:rPr>
            </w:pPr>
            <w:r>
              <w:rPr>
                <w:rFonts w:hint="eastAsia" w:ascii="宋体"/>
                <w:color w:val="auto"/>
                <w:sz w:val="21"/>
                <w:szCs w:val="21"/>
                <w:lang w:val="en-US" w:eastAsia="zh-CN"/>
              </w:rPr>
              <w:t>A</w:t>
            </w:r>
          </w:p>
        </w:tc>
        <w:tc>
          <w:tcPr>
            <w:tcW w:w="2340" w:type="dxa"/>
            <w:noWrap w:val="0"/>
            <w:vAlign w:val="top"/>
          </w:tcPr>
          <w:p w14:paraId="1E30E1B1">
            <w:pPr>
              <w:tabs>
                <w:tab w:val="left" w:pos="560"/>
              </w:tabs>
              <w:jc w:val="center"/>
              <w:rPr>
                <w:rFonts w:hint="default" w:ascii="宋体" w:eastAsia="宋体"/>
                <w:color w:val="auto"/>
                <w:sz w:val="21"/>
                <w:szCs w:val="21"/>
                <w:lang w:val="en-US" w:eastAsia="zh-CN"/>
              </w:rPr>
            </w:pPr>
            <w:r>
              <w:rPr>
                <w:rFonts w:hint="eastAsia" w:ascii="宋体"/>
                <w:color w:val="auto"/>
                <w:sz w:val="21"/>
                <w:szCs w:val="21"/>
                <w:lang w:val="en-US" w:eastAsia="zh-CN"/>
              </w:rPr>
              <w:t>275</w:t>
            </w:r>
          </w:p>
        </w:tc>
      </w:tr>
      <w:tr w14:paraId="6779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gridSpan w:val="2"/>
            <w:noWrap w:val="0"/>
            <w:vAlign w:val="top"/>
          </w:tcPr>
          <w:p w14:paraId="5D603C51">
            <w:pPr>
              <w:tabs>
                <w:tab w:val="left" w:pos="560"/>
              </w:tabs>
              <w:rPr>
                <w:rFonts w:hint="eastAsia" w:ascii="宋体"/>
                <w:color w:val="auto"/>
                <w:sz w:val="21"/>
                <w:szCs w:val="21"/>
              </w:rPr>
            </w:pPr>
            <w:r>
              <w:rPr>
                <w:rFonts w:hint="eastAsia" w:ascii="宋体"/>
                <w:color w:val="auto"/>
                <w:sz w:val="21"/>
                <w:szCs w:val="21"/>
              </w:rPr>
              <w:t>同步转速</w:t>
            </w:r>
          </w:p>
        </w:tc>
        <w:tc>
          <w:tcPr>
            <w:tcW w:w="2360" w:type="dxa"/>
            <w:noWrap w:val="0"/>
            <w:vAlign w:val="top"/>
          </w:tcPr>
          <w:p w14:paraId="4F43E38A">
            <w:pPr>
              <w:tabs>
                <w:tab w:val="left" w:pos="560"/>
              </w:tabs>
              <w:jc w:val="center"/>
              <w:rPr>
                <w:rFonts w:hint="eastAsia" w:ascii="宋体"/>
                <w:color w:val="auto"/>
                <w:sz w:val="21"/>
                <w:szCs w:val="21"/>
              </w:rPr>
            </w:pPr>
            <w:r>
              <w:rPr>
                <w:rFonts w:hint="eastAsia" w:ascii="宋体"/>
                <w:color w:val="auto"/>
                <w:sz w:val="21"/>
                <w:szCs w:val="21"/>
              </w:rPr>
              <w:t>rpm</w:t>
            </w:r>
          </w:p>
        </w:tc>
        <w:tc>
          <w:tcPr>
            <w:tcW w:w="2340" w:type="dxa"/>
            <w:noWrap w:val="0"/>
            <w:vAlign w:val="top"/>
          </w:tcPr>
          <w:p w14:paraId="62E8DA58">
            <w:pPr>
              <w:tabs>
                <w:tab w:val="left" w:pos="560"/>
              </w:tabs>
              <w:jc w:val="center"/>
              <w:rPr>
                <w:rFonts w:hint="default" w:ascii="宋体" w:eastAsia="宋体"/>
                <w:color w:val="auto"/>
                <w:sz w:val="21"/>
                <w:szCs w:val="21"/>
                <w:lang w:val="en-US" w:eastAsia="zh-CN"/>
              </w:rPr>
            </w:pPr>
            <w:r>
              <w:rPr>
                <w:rFonts w:hint="eastAsia" w:ascii="宋体"/>
                <w:color w:val="auto"/>
                <w:sz w:val="21"/>
                <w:szCs w:val="21"/>
                <w:lang w:val="en-US" w:eastAsia="zh-CN"/>
              </w:rPr>
              <w:t>371</w:t>
            </w:r>
          </w:p>
        </w:tc>
      </w:tr>
      <w:tr w14:paraId="0609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gridSpan w:val="2"/>
            <w:noWrap w:val="0"/>
            <w:vAlign w:val="top"/>
          </w:tcPr>
          <w:p w14:paraId="2AA96AFA">
            <w:pPr>
              <w:tabs>
                <w:tab w:val="left" w:pos="560"/>
              </w:tabs>
              <w:rPr>
                <w:rFonts w:hint="eastAsia" w:ascii="宋体"/>
                <w:color w:val="auto"/>
                <w:sz w:val="21"/>
                <w:szCs w:val="21"/>
              </w:rPr>
            </w:pPr>
            <w:r>
              <w:rPr>
                <w:rFonts w:hint="eastAsia" w:ascii="宋体"/>
                <w:color w:val="auto"/>
                <w:sz w:val="21"/>
                <w:szCs w:val="21"/>
              </w:rPr>
              <w:t>频  率</w:t>
            </w:r>
          </w:p>
        </w:tc>
        <w:tc>
          <w:tcPr>
            <w:tcW w:w="2360" w:type="dxa"/>
            <w:noWrap w:val="0"/>
            <w:vAlign w:val="top"/>
          </w:tcPr>
          <w:p w14:paraId="2B525B4D">
            <w:pPr>
              <w:tabs>
                <w:tab w:val="left" w:pos="560"/>
              </w:tabs>
              <w:jc w:val="center"/>
              <w:rPr>
                <w:rFonts w:hint="eastAsia" w:ascii="宋体"/>
                <w:color w:val="auto"/>
                <w:sz w:val="21"/>
                <w:szCs w:val="21"/>
              </w:rPr>
            </w:pPr>
            <w:r>
              <w:rPr>
                <w:rFonts w:hint="eastAsia" w:ascii="宋体"/>
                <w:color w:val="auto"/>
                <w:sz w:val="21"/>
                <w:szCs w:val="21"/>
              </w:rPr>
              <w:t>Hz</w:t>
            </w:r>
          </w:p>
        </w:tc>
        <w:tc>
          <w:tcPr>
            <w:tcW w:w="2340" w:type="dxa"/>
            <w:noWrap w:val="0"/>
            <w:vAlign w:val="top"/>
          </w:tcPr>
          <w:p w14:paraId="15AA42B2">
            <w:pPr>
              <w:tabs>
                <w:tab w:val="left" w:pos="560"/>
              </w:tabs>
              <w:jc w:val="center"/>
              <w:rPr>
                <w:rFonts w:hint="eastAsia" w:ascii="宋体"/>
                <w:color w:val="auto"/>
                <w:sz w:val="21"/>
                <w:szCs w:val="21"/>
              </w:rPr>
            </w:pPr>
            <w:r>
              <w:rPr>
                <w:rFonts w:hint="eastAsia" w:ascii="宋体"/>
                <w:color w:val="auto"/>
                <w:sz w:val="21"/>
                <w:szCs w:val="21"/>
              </w:rPr>
              <w:t>50</w:t>
            </w:r>
          </w:p>
        </w:tc>
      </w:tr>
      <w:tr w14:paraId="31ED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00" w:type="dxa"/>
            <w:vMerge w:val="restart"/>
            <w:noWrap w:val="0"/>
            <w:vAlign w:val="center"/>
          </w:tcPr>
          <w:p w14:paraId="12535016">
            <w:pPr>
              <w:tabs>
                <w:tab w:val="left" w:pos="560"/>
              </w:tabs>
              <w:rPr>
                <w:rFonts w:hint="eastAsia" w:ascii="宋体"/>
                <w:color w:val="auto"/>
                <w:sz w:val="21"/>
                <w:szCs w:val="21"/>
              </w:rPr>
            </w:pPr>
            <w:r>
              <w:rPr>
                <w:rFonts w:hint="eastAsia" w:ascii="宋体"/>
                <w:color w:val="auto"/>
                <w:sz w:val="21"/>
                <w:szCs w:val="21"/>
              </w:rPr>
              <w:t>主要特性</w:t>
            </w:r>
          </w:p>
        </w:tc>
        <w:tc>
          <w:tcPr>
            <w:tcW w:w="1880" w:type="dxa"/>
            <w:noWrap w:val="0"/>
            <w:vAlign w:val="top"/>
          </w:tcPr>
          <w:p w14:paraId="5D786804">
            <w:pPr>
              <w:tabs>
                <w:tab w:val="left" w:pos="560"/>
              </w:tabs>
              <w:jc w:val="center"/>
              <w:rPr>
                <w:rFonts w:hint="eastAsia" w:ascii="宋体"/>
                <w:color w:val="auto"/>
                <w:sz w:val="21"/>
                <w:szCs w:val="21"/>
              </w:rPr>
            </w:pPr>
            <w:r>
              <w:rPr>
                <w:rFonts w:hint="eastAsia" w:ascii="宋体"/>
                <w:color w:val="auto"/>
                <w:sz w:val="21"/>
                <w:szCs w:val="21"/>
              </w:rPr>
              <w:t>效  率</w:t>
            </w:r>
          </w:p>
        </w:tc>
        <w:tc>
          <w:tcPr>
            <w:tcW w:w="2360" w:type="dxa"/>
            <w:noWrap w:val="0"/>
            <w:vAlign w:val="top"/>
          </w:tcPr>
          <w:p w14:paraId="3FE1797C">
            <w:pPr>
              <w:tabs>
                <w:tab w:val="left" w:pos="560"/>
              </w:tabs>
              <w:jc w:val="center"/>
              <w:rPr>
                <w:rFonts w:hint="eastAsia" w:ascii="宋体"/>
                <w:color w:val="auto"/>
                <w:sz w:val="21"/>
                <w:szCs w:val="21"/>
              </w:rPr>
            </w:pPr>
          </w:p>
        </w:tc>
        <w:tc>
          <w:tcPr>
            <w:tcW w:w="2340" w:type="dxa"/>
            <w:noWrap w:val="0"/>
            <w:vAlign w:val="center"/>
          </w:tcPr>
          <w:p w14:paraId="52CEF528">
            <w:pPr>
              <w:tabs>
                <w:tab w:val="left" w:pos="560"/>
              </w:tabs>
              <w:spacing w:line="360" w:lineRule="auto"/>
              <w:jc w:val="center"/>
              <w:rPr>
                <w:color w:val="auto"/>
                <w:sz w:val="21"/>
                <w:szCs w:val="21"/>
              </w:rPr>
            </w:pPr>
          </w:p>
        </w:tc>
      </w:tr>
      <w:tr w14:paraId="2FFB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00" w:type="dxa"/>
            <w:vMerge w:val="continue"/>
            <w:noWrap w:val="0"/>
            <w:vAlign w:val="top"/>
          </w:tcPr>
          <w:p w14:paraId="03BE5C0A">
            <w:pPr>
              <w:tabs>
                <w:tab w:val="left" w:pos="560"/>
              </w:tabs>
              <w:rPr>
                <w:rFonts w:hint="eastAsia" w:ascii="宋体"/>
                <w:color w:val="auto"/>
                <w:sz w:val="21"/>
                <w:szCs w:val="21"/>
              </w:rPr>
            </w:pPr>
          </w:p>
        </w:tc>
        <w:tc>
          <w:tcPr>
            <w:tcW w:w="1880" w:type="dxa"/>
            <w:noWrap w:val="0"/>
            <w:vAlign w:val="top"/>
          </w:tcPr>
          <w:p w14:paraId="55EFFBB5">
            <w:pPr>
              <w:tabs>
                <w:tab w:val="left" w:pos="560"/>
              </w:tabs>
              <w:jc w:val="center"/>
              <w:rPr>
                <w:rFonts w:hint="eastAsia" w:ascii="宋体"/>
                <w:color w:val="auto"/>
                <w:sz w:val="21"/>
                <w:szCs w:val="21"/>
              </w:rPr>
            </w:pPr>
            <w:r>
              <w:rPr>
                <w:rFonts w:hint="eastAsia" w:ascii="宋体"/>
                <w:color w:val="auto"/>
                <w:sz w:val="21"/>
                <w:szCs w:val="21"/>
              </w:rPr>
              <w:t>功率因数</w:t>
            </w:r>
          </w:p>
        </w:tc>
        <w:tc>
          <w:tcPr>
            <w:tcW w:w="2360" w:type="dxa"/>
            <w:noWrap w:val="0"/>
            <w:vAlign w:val="top"/>
          </w:tcPr>
          <w:p w14:paraId="62645420">
            <w:pPr>
              <w:tabs>
                <w:tab w:val="left" w:pos="560"/>
              </w:tabs>
              <w:jc w:val="center"/>
              <w:rPr>
                <w:rFonts w:hint="default" w:ascii="宋体" w:eastAsia="宋体"/>
                <w:color w:val="auto"/>
                <w:sz w:val="21"/>
                <w:szCs w:val="21"/>
                <w:lang w:val="en-US" w:eastAsia="zh-CN"/>
              </w:rPr>
            </w:pPr>
            <w:r>
              <w:rPr>
                <w:rFonts w:hint="eastAsia" w:ascii="宋体"/>
                <w:color w:val="auto"/>
                <w:sz w:val="21"/>
                <w:szCs w:val="21"/>
                <w:lang w:val="en-US" w:eastAsia="zh-CN"/>
              </w:rPr>
              <w:t>0.8</w:t>
            </w:r>
          </w:p>
        </w:tc>
        <w:tc>
          <w:tcPr>
            <w:tcW w:w="2340" w:type="dxa"/>
            <w:noWrap w:val="0"/>
            <w:vAlign w:val="center"/>
          </w:tcPr>
          <w:p w14:paraId="72CCE1F5">
            <w:pPr>
              <w:tabs>
                <w:tab w:val="left" w:pos="560"/>
              </w:tabs>
              <w:spacing w:line="360" w:lineRule="auto"/>
              <w:jc w:val="center"/>
              <w:rPr>
                <w:color w:val="auto"/>
                <w:sz w:val="21"/>
                <w:szCs w:val="21"/>
              </w:rPr>
            </w:pPr>
          </w:p>
        </w:tc>
      </w:tr>
      <w:tr w14:paraId="7F0C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00" w:type="dxa"/>
            <w:vMerge w:val="continue"/>
            <w:noWrap w:val="0"/>
            <w:vAlign w:val="top"/>
          </w:tcPr>
          <w:p w14:paraId="45E3BC23">
            <w:pPr>
              <w:tabs>
                <w:tab w:val="left" w:pos="560"/>
              </w:tabs>
              <w:rPr>
                <w:rFonts w:hint="eastAsia" w:ascii="宋体"/>
                <w:color w:val="auto"/>
                <w:sz w:val="21"/>
                <w:szCs w:val="21"/>
              </w:rPr>
            </w:pPr>
          </w:p>
        </w:tc>
        <w:tc>
          <w:tcPr>
            <w:tcW w:w="1880" w:type="dxa"/>
            <w:noWrap w:val="0"/>
            <w:vAlign w:val="top"/>
          </w:tcPr>
          <w:p w14:paraId="01B09420">
            <w:pPr>
              <w:tabs>
                <w:tab w:val="left" w:pos="560"/>
              </w:tabs>
              <w:jc w:val="center"/>
              <w:rPr>
                <w:rFonts w:hint="eastAsia" w:ascii="宋体"/>
                <w:color w:val="auto"/>
                <w:sz w:val="21"/>
                <w:szCs w:val="21"/>
              </w:rPr>
            </w:pPr>
            <w:r>
              <w:rPr>
                <w:rFonts w:hint="eastAsia" w:ascii="宋体"/>
                <w:color w:val="auto"/>
                <w:sz w:val="21"/>
                <w:szCs w:val="21"/>
              </w:rPr>
              <w:t>堵转转矩</w:t>
            </w:r>
          </w:p>
        </w:tc>
        <w:tc>
          <w:tcPr>
            <w:tcW w:w="2360" w:type="dxa"/>
            <w:noWrap w:val="0"/>
            <w:vAlign w:val="top"/>
          </w:tcPr>
          <w:p w14:paraId="0D1730B8">
            <w:pPr>
              <w:tabs>
                <w:tab w:val="left" w:pos="560"/>
              </w:tabs>
              <w:jc w:val="center"/>
              <w:rPr>
                <w:rFonts w:hint="eastAsia" w:ascii="宋体"/>
                <w:color w:val="auto"/>
                <w:sz w:val="21"/>
                <w:szCs w:val="21"/>
              </w:rPr>
            </w:pPr>
          </w:p>
        </w:tc>
        <w:tc>
          <w:tcPr>
            <w:tcW w:w="2340" w:type="dxa"/>
            <w:noWrap w:val="0"/>
            <w:vAlign w:val="center"/>
          </w:tcPr>
          <w:p w14:paraId="2DEAFFD6">
            <w:pPr>
              <w:tabs>
                <w:tab w:val="left" w:pos="560"/>
              </w:tabs>
              <w:spacing w:line="360" w:lineRule="auto"/>
              <w:jc w:val="center"/>
              <w:rPr>
                <w:rFonts w:hint="eastAsia"/>
                <w:color w:val="auto"/>
                <w:sz w:val="21"/>
                <w:szCs w:val="21"/>
              </w:rPr>
            </w:pPr>
          </w:p>
        </w:tc>
      </w:tr>
      <w:tr w14:paraId="727E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00" w:type="dxa"/>
            <w:vMerge w:val="continue"/>
            <w:noWrap w:val="0"/>
            <w:vAlign w:val="top"/>
          </w:tcPr>
          <w:p w14:paraId="3AA53577">
            <w:pPr>
              <w:tabs>
                <w:tab w:val="left" w:pos="560"/>
              </w:tabs>
              <w:rPr>
                <w:rFonts w:hint="eastAsia" w:ascii="宋体"/>
                <w:color w:val="auto"/>
                <w:sz w:val="21"/>
                <w:szCs w:val="21"/>
              </w:rPr>
            </w:pPr>
          </w:p>
        </w:tc>
        <w:tc>
          <w:tcPr>
            <w:tcW w:w="1880" w:type="dxa"/>
            <w:noWrap w:val="0"/>
            <w:vAlign w:val="top"/>
          </w:tcPr>
          <w:p w14:paraId="40BE1F4A">
            <w:pPr>
              <w:tabs>
                <w:tab w:val="left" w:pos="560"/>
              </w:tabs>
              <w:jc w:val="center"/>
              <w:rPr>
                <w:rFonts w:hint="eastAsia" w:ascii="宋体"/>
                <w:color w:val="auto"/>
                <w:sz w:val="21"/>
                <w:szCs w:val="21"/>
              </w:rPr>
            </w:pPr>
            <w:r>
              <w:rPr>
                <w:rFonts w:hint="eastAsia" w:ascii="宋体"/>
                <w:color w:val="auto"/>
                <w:sz w:val="21"/>
                <w:szCs w:val="21"/>
              </w:rPr>
              <w:t>堵转电流</w:t>
            </w:r>
          </w:p>
        </w:tc>
        <w:tc>
          <w:tcPr>
            <w:tcW w:w="2360" w:type="dxa"/>
            <w:noWrap w:val="0"/>
            <w:vAlign w:val="top"/>
          </w:tcPr>
          <w:p w14:paraId="7571FBF5">
            <w:pPr>
              <w:tabs>
                <w:tab w:val="left" w:pos="560"/>
              </w:tabs>
              <w:jc w:val="center"/>
              <w:rPr>
                <w:rFonts w:hint="eastAsia" w:ascii="宋体"/>
                <w:color w:val="auto"/>
                <w:sz w:val="21"/>
                <w:szCs w:val="21"/>
              </w:rPr>
            </w:pPr>
          </w:p>
        </w:tc>
        <w:tc>
          <w:tcPr>
            <w:tcW w:w="2340" w:type="dxa"/>
            <w:noWrap w:val="0"/>
            <w:vAlign w:val="center"/>
          </w:tcPr>
          <w:p w14:paraId="11C0D391">
            <w:pPr>
              <w:tabs>
                <w:tab w:val="left" w:pos="560"/>
              </w:tabs>
              <w:spacing w:line="360" w:lineRule="auto"/>
              <w:jc w:val="center"/>
              <w:rPr>
                <w:rFonts w:hint="eastAsia"/>
                <w:color w:val="auto"/>
                <w:sz w:val="21"/>
                <w:szCs w:val="21"/>
              </w:rPr>
            </w:pPr>
          </w:p>
        </w:tc>
      </w:tr>
      <w:tr w14:paraId="63D2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00" w:type="dxa"/>
            <w:vMerge w:val="continue"/>
            <w:noWrap w:val="0"/>
            <w:vAlign w:val="top"/>
          </w:tcPr>
          <w:p w14:paraId="6D4B7336">
            <w:pPr>
              <w:tabs>
                <w:tab w:val="left" w:pos="560"/>
              </w:tabs>
              <w:rPr>
                <w:rFonts w:hint="eastAsia" w:ascii="宋体"/>
                <w:color w:val="auto"/>
                <w:sz w:val="21"/>
                <w:szCs w:val="21"/>
              </w:rPr>
            </w:pPr>
          </w:p>
        </w:tc>
        <w:tc>
          <w:tcPr>
            <w:tcW w:w="1880" w:type="dxa"/>
            <w:noWrap w:val="0"/>
            <w:vAlign w:val="top"/>
          </w:tcPr>
          <w:p w14:paraId="01595624">
            <w:pPr>
              <w:tabs>
                <w:tab w:val="left" w:pos="560"/>
              </w:tabs>
              <w:jc w:val="center"/>
              <w:rPr>
                <w:rFonts w:hint="eastAsia" w:ascii="宋体"/>
                <w:color w:val="auto"/>
                <w:sz w:val="21"/>
                <w:szCs w:val="21"/>
              </w:rPr>
            </w:pPr>
            <w:r>
              <w:rPr>
                <w:rFonts w:hint="eastAsia" w:ascii="宋体"/>
                <w:color w:val="auto"/>
                <w:sz w:val="21"/>
                <w:szCs w:val="21"/>
              </w:rPr>
              <w:t>最大转矩</w:t>
            </w:r>
          </w:p>
        </w:tc>
        <w:tc>
          <w:tcPr>
            <w:tcW w:w="2360" w:type="dxa"/>
            <w:noWrap w:val="0"/>
            <w:vAlign w:val="top"/>
          </w:tcPr>
          <w:p w14:paraId="1EDDFC6D">
            <w:pPr>
              <w:tabs>
                <w:tab w:val="left" w:pos="560"/>
              </w:tabs>
              <w:jc w:val="center"/>
              <w:rPr>
                <w:rFonts w:hint="eastAsia" w:ascii="宋体"/>
                <w:color w:val="auto"/>
                <w:sz w:val="21"/>
                <w:szCs w:val="21"/>
              </w:rPr>
            </w:pPr>
          </w:p>
        </w:tc>
        <w:tc>
          <w:tcPr>
            <w:tcW w:w="2340" w:type="dxa"/>
            <w:noWrap w:val="0"/>
            <w:vAlign w:val="center"/>
          </w:tcPr>
          <w:p w14:paraId="0947E6D7">
            <w:pPr>
              <w:tabs>
                <w:tab w:val="left" w:pos="560"/>
              </w:tabs>
              <w:spacing w:line="360" w:lineRule="auto"/>
              <w:jc w:val="center"/>
              <w:rPr>
                <w:rFonts w:hint="eastAsia"/>
                <w:color w:val="auto"/>
                <w:sz w:val="21"/>
                <w:szCs w:val="21"/>
              </w:rPr>
            </w:pPr>
          </w:p>
        </w:tc>
      </w:tr>
      <w:tr w14:paraId="4EA4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0" w:type="dxa"/>
            <w:gridSpan w:val="2"/>
            <w:noWrap w:val="0"/>
            <w:vAlign w:val="top"/>
          </w:tcPr>
          <w:p w14:paraId="6199AA36">
            <w:pPr>
              <w:tabs>
                <w:tab w:val="left" w:pos="560"/>
              </w:tabs>
              <w:rPr>
                <w:rFonts w:hint="eastAsia" w:ascii="宋体"/>
                <w:color w:val="auto"/>
                <w:sz w:val="21"/>
                <w:szCs w:val="21"/>
              </w:rPr>
            </w:pPr>
            <w:r>
              <w:rPr>
                <w:rFonts w:hint="eastAsia" w:ascii="宋体"/>
                <w:color w:val="auto"/>
                <w:sz w:val="21"/>
                <w:szCs w:val="21"/>
              </w:rPr>
              <w:t>防护等级</w:t>
            </w:r>
          </w:p>
        </w:tc>
        <w:tc>
          <w:tcPr>
            <w:tcW w:w="4700" w:type="dxa"/>
            <w:gridSpan w:val="2"/>
            <w:noWrap w:val="0"/>
            <w:vAlign w:val="top"/>
          </w:tcPr>
          <w:p w14:paraId="45783848">
            <w:pPr>
              <w:tabs>
                <w:tab w:val="left" w:pos="560"/>
              </w:tabs>
              <w:ind w:firstLine="840" w:firstLineChars="400"/>
              <w:rPr>
                <w:rFonts w:hint="eastAsia" w:ascii="宋体"/>
                <w:color w:val="auto"/>
                <w:sz w:val="21"/>
                <w:szCs w:val="21"/>
              </w:rPr>
            </w:pPr>
            <w:r>
              <w:rPr>
                <w:rFonts w:hint="eastAsia" w:ascii="宋体"/>
                <w:color w:val="auto"/>
                <w:sz w:val="21"/>
                <w:szCs w:val="21"/>
              </w:rPr>
              <w:t>IP54</w:t>
            </w:r>
          </w:p>
        </w:tc>
      </w:tr>
      <w:tr w14:paraId="48ED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0" w:type="dxa"/>
            <w:gridSpan w:val="2"/>
            <w:noWrap w:val="0"/>
            <w:vAlign w:val="top"/>
          </w:tcPr>
          <w:p w14:paraId="4FB1319F">
            <w:pPr>
              <w:tabs>
                <w:tab w:val="left" w:pos="560"/>
              </w:tabs>
              <w:rPr>
                <w:rFonts w:hint="eastAsia" w:ascii="宋体"/>
                <w:color w:val="auto"/>
                <w:sz w:val="21"/>
                <w:szCs w:val="21"/>
              </w:rPr>
            </w:pPr>
            <w:r>
              <w:rPr>
                <w:rFonts w:hint="eastAsia" w:ascii="宋体"/>
                <w:color w:val="auto"/>
                <w:sz w:val="21"/>
                <w:szCs w:val="21"/>
              </w:rPr>
              <w:t>绝缘等级</w:t>
            </w:r>
          </w:p>
        </w:tc>
        <w:tc>
          <w:tcPr>
            <w:tcW w:w="4700" w:type="dxa"/>
            <w:gridSpan w:val="2"/>
            <w:noWrap w:val="0"/>
            <w:vAlign w:val="top"/>
          </w:tcPr>
          <w:p w14:paraId="66D856CF">
            <w:pPr>
              <w:tabs>
                <w:tab w:val="left" w:pos="560"/>
              </w:tabs>
              <w:ind w:firstLine="1050" w:firstLineChars="500"/>
              <w:rPr>
                <w:rFonts w:hint="eastAsia" w:ascii="宋体"/>
                <w:color w:val="auto"/>
                <w:sz w:val="21"/>
                <w:szCs w:val="21"/>
              </w:rPr>
            </w:pPr>
            <w:r>
              <w:rPr>
                <w:rFonts w:hint="eastAsia" w:ascii="宋体"/>
                <w:color w:val="auto"/>
                <w:sz w:val="21"/>
                <w:szCs w:val="21"/>
              </w:rPr>
              <w:t>F</w:t>
            </w:r>
          </w:p>
        </w:tc>
      </w:tr>
      <w:tr w14:paraId="2EEF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0" w:type="dxa"/>
            <w:gridSpan w:val="2"/>
            <w:noWrap w:val="0"/>
            <w:vAlign w:val="top"/>
          </w:tcPr>
          <w:p w14:paraId="0D479D12">
            <w:pPr>
              <w:tabs>
                <w:tab w:val="left" w:pos="560"/>
              </w:tabs>
              <w:rPr>
                <w:rFonts w:hint="eastAsia" w:ascii="宋体"/>
                <w:color w:val="auto"/>
                <w:sz w:val="21"/>
                <w:szCs w:val="21"/>
              </w:rPr>
            </w:pPr>
            <w:r>
              <w:rPr>
                <w:rFonts w:hint="eastAsia" w:ascii="宋体"/>
                <w:color w:val="auto"/>
                <w:sz w:val="21"/>
                <w:szCs w:val="21"/>
              </w:rPr>
              <w:t>重  量</w:t>
            </w:r>
          </w:p>
        </w:tc>
        <w:tc>
          <w:tcPr>
            <w:tcW w:w="2360" w:type="dxa"/>
            <w:noWrap w:val="0"/>
            <w:vAlign w:val="top"/>
          </w:tcPr>
          <w:p w14:paraId="68618E63">
            <w:pPr>
              <w:tabs>
                <w:tab w:val="left" w:pos="560"/>
              </w:tabs>
              <w:jc w:val="center"/>
              <w:rPr>
                <w:rFonts w:hint="default" w:ascii="宋体" w:eastAsia="宋体"/>
                <w:color w:val="auto"/>
                <w:sz w:val="21"/>
                <w:szCs w:val="21"/>
                <w:lang w:val="en-US" w:eastAsia="zh-CN"/>
              </w:rPr>
            </w:pPr>
            <w:r>
              <w:rPr>
                <w:rFonts w:hint="eastAsia" w:ascii="宋体"/>
                <w:color w:val="auto"/>
                <w:sz w:val="21"/>
                <w:szCs w:val="21"/>
                <w:lang w:val="en-US" w:eastAsia="zh-CN"/>
              </w:rPr>
              <w:t>KG</w:t>
            </w:r>
          </w:p>
        </w:tc>
        <w:tc>
          <w:tcPr>
            <w:tcW w:w="2340" w:type="dxa"/>
            <w:noWrap w:val="0"/>
            <w:vAlign w:val="top"/>
          </w:tcPr>
          <w:p w14:paraId="60864626">
            <w:pPr>
              <w:tabs>
                <w:tab w:val="left" w:pos="560"/>
              </w:tabs>
              <w:rPr>
                <w:rFonts w:hint="default" w:ascii="宋体" w:eastAsia="宋体"/>
                <w:color w:val="auto"/>
                <w:sz w:val="21"/>
                <w:szCs w:val="21"/>
                <w:lang w:val="en-US" w:eastAsia="zh-CN"/>
              </w:rPr>
            </w:pPr>
            <w:r>
              <w:rPr>
                <w:rFonts w:hint="eastAsia" w:ascii="宋体"/>
                <w:color w:val="auto"/>
                <w:sz w:val="21"/>
                <w:szCs w:val="21"/>
                <w:lang w:val="en-US" w:eastAsia="zh-CN"/>
              </w:rPr>
              <w:t>37600</w:t>
            </w:r>
          </w:p>
        </w:tc>
      </w:tr>
      <w:tr w14:paraId="31C7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0" w:type="dxa"/>
            <w:gridSpan w:val="2"/>
            <w:noWrap w:val="0"/>
            <w:vAlign w:val="top"/>
          </w:tcPr>
          <w:p w14:paraId="2397A934">
            <w:pPr>
              <w:tabs>
                <w:tab w:val="left" w:pos="560"/>
              </w:tabs>
              <w:rPr>
                <w:rFonts w:hint="eastAsia" w:ascii="宋体"/>
                <w:color w:val="auto"/>
                <w:sz w:val="21"/>
                <w:szCs w:val="21"/>
              </w:rPr>
            </w:pPr>
            <w:r>
              <w:rPr>
                <w:rFonts w:hint="eastAsia" w:ascii="宋体"/>
                <w:color w:val="auto"/>
                <w:sz w:val="21"/>
                <w:szCs w:val="21"/>
              </w:rPr>
              <w:t>冷却方式</w:t>
            </w:r>
          </w:p>
        </w:tc>
        <w:tc>
          <w:tcPr>
            <w:tcW w:w="4700" w:type="dxa"/>
            <w:gridSpan w:val="2"/>
            <w:noWrap w:val="0"/>
            <w:vAlign w:val="top"/>
          </w:tcPr>
          <w:p w14:paraId="7B1F2CBA">
            <w:pPr>
              <w:tabs>
                <w:tab w:val="left" w:pos="560"/>
              </w:tabs>
              <w:ind w:firstLine="1050" w:firstLineChars="500"/>
              <w:rPr>
                <w:rFonts w:hint="eastAsia" w:ascii="宋体"/>
                <w:color w:val="auto"/>
                <w:sz w:val="21"/>
                <w:szCs w:val="21"/>
              </w:rPr>
            </w:pPr>
            <w:r>
              <w:rPr>
                <w:rFonts w:hint="eastAsia" w:ascii="宋体"/>
                <w:color w:val="auto"/>
                <w:sz w:val="21"/>
                <w:szCs w:val="21"/>
              </w:rPr>
              <w:t>IC8</w:t>
            </w:r>
          </w:p>
        </w:tc>
      </w:tr>
      <w:tr w14:paraId="613B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0" w:type="dxa"/>
            <w:gridSpan w:val="2"/>
            <w:noWrap w:val="0"/>
            <w:vAlign w:val="top"/>
          </w:tcPr>
          <w:p w14:paraId="1971857F">
            <w:pPr>
              <w:tabs>
                <w:tab w:val="left" w:pos="560"/>
              </w:tabs>
              <w:rPr>
                <w:rFonts w:hint="eastAsia" w:ascii="宋体"/>
                <w:color w:val="auto"/>
                <w:sz w:val="21"/>
                <w:szCs w:val="21"/>
              </w:rPr>
            </w:pPr>
            <w:r>
              <w:rPr>
                <w:rFonts w:hint="eastAsia" w:ascii="宋体"/>
                <w:color w:val="auto"/>
                <w:sz w:val="21"/>
                <w:szCs w:val="21"/>
              </w:rPr>
              <w:t>旋转方向</w:t>
            </w:r>
          </w:p>
        </w:tc>
        <w:tc>
          <w:tcPr>
            <w:tcW w:w="4700" w:type="dxa"/>
            <w:gridSpan w:val="2"/>
            <w:noWrap w:val="0"/>
            <w:vAlign w:val="top"/>
          </w:tcPr>
          <w:p w14:paraId="387E39A5">
            <w:pPr>
              <w:tabs>
                <w:tab w:val="left" w:pos="560"/>
              </w:tabs>
              <w:ind w:firstLine="1050" w:firstLineChars="500"/>
              <w:rPr>
                <w:rFonts w:hint="eastAsia" w:ascii="宋体"/>
                <w:color w:val="auto"/>
                <w:sz w:val="21"/>
                <w:szCs w:val="21"/>
                <w:u w:val="single"/>
              </w:rPr>
            </w:pPr>
            <w:r>
              <w:rPr>
                <w:rFonts w:hint="eastAsia" w:ascii="宋体"/>
                <w:color w:val="auto"/>
                <w:sz w:val="21"/>
                <w:szCs w:val="21"/>
                <w:u w:val="single"/>
              </w:rPr>
              <w:t>与泵转向一致</w:t>
            </w:r>
          </w:p>
        </w:tc>
      </w:tr>
      <w:tr w14:paraId="29C0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0" w:type="dxa"/>
            <w:gridSpan w:val="2"/>
            <w:noWrap w:val="0"/>
            <w:vAlign w:val="top"/>
          </w:tcPr>
          <w:p w14:paraId="72D36D52">
            <w:pPr>
              <w:tabs>
                <w:tab w:val="left" w:pos="560"/>
              </w:tabs>
              <w:rPr>
                <w:rFonts w:hint="eastAsia" w:ascii="宋体"/>
                <w:color w:val="auto"/>
                <w:sz w:val="21"/>
                <w:szCs w:val="21"/>
              </w:rPr>
            </w:pPr>
            <w:r>
              <w:rPr>
                <w:rFonts w:hint="eastAsia" w:ascii="宋体"/>
                <w:color w:val="auto"/>
                <w:sz w:val="21"/>
                <w:szCs w:val="21"/>
              </w:rPr>
              <w:t>适应变频</w:t>
            </w:r>
          </w:p>
        </w:tc>
        <w:tc>
          <w:tcPr>
            <w:tcW w:w="4700" w:type="dxa"/>
            <w:gridSpan w:val="2"/>
            <w:noWrap w:val="0"/>
            <w:vAlign w:val="top"/>
          </w:tcPr>
          <w:p w14:paraId="4B73BCF5">
            <w:pPr>
              <w:tabs>
                <w:tab w:val="left" w:pos="560"/>
              </w:tabs>
              <w:ind w:firstLine="1050" w:firstLineChars="500"/>
              <w:rPr>
                <w:rFonts w:hint="eastAsia" w:ascii="宋体"/>
                <w:color w:val="auto"/>
                <w:sz w:val="21"/>
                <w:szCs w:val="21"/>
                <w:u w:val="single"/>
              </w:rPr>
            </w:pPr>
            <w:r>
              <w:rPr>
                <w:rFonts w:hint="eastAsia" w:ascii="宋体"/>
                <w:color w:val="auto"/>
                <w:sz w:val="21"/>
                <w:szCs w:val="21"/>
                <w:u w:val="single"/>
              </w:rPr>
              <w:t>是</w:t>
            </w:r>
          </w:p>
        </w:tc>
      </w:tr>
    </w:tbl>
    <w:p w14:paraId="3D416FDB">
      <w:pPr>
        <w:rPr>
          <w:rFonts w:hint="eastAsia"/>
          <w:color w:val="auto"/>
          <w:sz w:val="24"/>
        </w:rPr>
      </w:pPr>
      <w:r>
        <w:rPr>
          <w:rFonts w:hint="eastAsia" w:ascii="Arial" w:cs="Arial"/>
          <w:color w:val="auto"/>
          <w:szCs w:val="21"/>
        </w:rPr>
        <w:t xml:space="preserve"> </w:t>
      </w:r>
    </w:p>
    <w:p w14:paraId="781B839D">
      <w:pPr>
        <w:tabs>
          <w:tab w:val="left" w:pos="560"/>
        </w:tabs>
        <w:rPr>
          <w:rFonts w:hint="eastAsia" w:ascii="宋体"/>
          <w:b/>
          <w:color w:val="auto"/>
          <w:sz w:val="24"/>
        </w:rPr>
      </w:pPr>
      <w:r>
        <w:rPr>
          <w:rFonts w:hint="eastAsia"/>
          <w:color w:val="auto"/>
          <w:sz w:val="21"/>
          <w:szCs w:val="21"/>
        </w:rPr>
        <w:t>2</w:t>
      </w:r>
      <w:r>
        <w:rPr>
          <w:color w:val="auto"/>
          <w:sz w:val="21"/>
          <w:szCs w:val="21"/>
        </w:rPr>
        <w:t>.</w:t>
      </w:r>
      <w:r>
        <w:rPr>
          <w:rFonts w:hint="eastAsia"/>
          <w:color w:val="auto"/>
          <w:sz w:val="21"/>
          <w:szCs w:val="21"/>
        </w:rPr>
        <w:t>3</w:t>
      </w:r>
      <w:r>
        <w:rPr>
          <w:color w:val="auto"/>
          <w:sz w:val="21"/>
          <w:szCs w:val="21"/>
        </w:rPr>
        <w:t>.</w:t>
      </w:r>
      <w:r>
        <w:rPr>
          <w:rFonts w:hint="eastAsia"/>
          <w:color w:val="auto"/>
          <w:sz w:val="21"/>
          <w:szCs w:val="21"/>
        </w:rPr>
        <w:t>3</w:t>
      </w:r>
      <w:r>
        <w:rPr>
          <w:color w:val="auto"/>
          <w:sz w:val="21"/>
          <w:szCs w:val="21"/>
        </w:rPr>
        <w:t xml:space="preserve"> </w:t>
      </w:r>
      <w:r>
        <w:rPr>
          <w:rFonts w:hint="eastAsia" w:ascii="宋体"/>
          <w:color w:val="auto"/>
        </w:rPr>
        <w:t>单台</w:t>
      </w:r>
      <w:r>
        <w:rPr>
          <w:rFonts w:hint="eastAsia"/>
          <w:color w:val="auto"/>
          <w:lang w:eastAsia="zh-CN"/>
        </w:rPr>
        <w:t>循环水泵</w:t>
      </w:r>
      <w:r>
        <w:rPr>
          <w:rFonts w:hint="eastAsia"/>
          <w:color w:val="auto"/>
        </w:rPr>
        <w:t>技术参数</w:t>
      </w:r>
    </w:p>
    <w:tbl>
      <w:tblPr>
        <w:tblStyle w:val="59"/>
        <w:tblW w:w="91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0"/>
        <w:gridCol w:w="1580"/>
        <w:gridCol w:w="2340"/>
        <w:gridCol w:w="1780"/>
      </w:tblGrid>
      <w:tr w14:paraId="6FF8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000" w:type="dxa"/>
            <w:gridSpan w:val="2"/>
            <w:noWrap w:val="0"/>
            <w:vAlign w:val="top"/>
          </w:tcPr>
          <w:p w14:paraId="779A4AFD">
            <w:pPr>
              <w:tabs>
                <w:tab w:val="left" w:pos="560"/>
              </w:tabs>
              <w:snapToGrid w:val="0"/>
              <w:jc w:val="center"/>
              <w:rPr>
                <w:rFonts w:hint="eastAsia" w:ascii="宋体"/>
                <w:color w:val="auto"/>
                <w:sz w:val="21"/>
                <w:szCs w:val="21"/>
              </w:rPr>
            </w:pPr>
            <w:r>
              <w:rPr>
                <w:rFonts w:hint="eastAsia" w:ascii="宋体"/>
                <w:color w:val="auto"/>
                <w:sz w:val="21"/>
                <w:szCs w:val="21"/>
              </w:rPr>
              <w:t>使用工况点</w:t>
            </w:r>
          </w:p>
        </w:tc>
        <w:tc>
          <w:tcPr>
            <w:tcW w:w="2340" w:type="dxa"/>
            <w:vMerge w:val="restart"/>
            <w:noWrap w:val="0"/>
            <w:vAlign w:val="top"/>
          </w:tcPr>
          <w:p w14:paraId="184CD864">
            <w:pPr>
              <w:tabs>
                <w:tab w:val="left" w:pos="560"/>
              </w:tabs>
              <w:snapToGrid w:val="0"/>
              <w:jc w:val="center"/>
              <w:rPr>
                <w:rFonts w:hint="eastAsia" w:ascii="宋体"/>
                <w:color w:val="auto"/>
                <w:sz w:val="21"/>
                <w:szCs w:val="21"/>
              </w:rPr>
            </w:pPr>
            <w:r>
              <w:rPr>
                <w:rFonts w:hint="eastAsia" w:ascii="宋体"/>
                <w:color w:val="auto"/>
                <w:sz w:val="21"/>
                <w:szCs w:val="21"/>
              </w:rPr>
              <w:t>正常运行点</w:t>
            </w:r>
          </w:p>
          <w:p w14:paraId="5272FD42">
            <w:pPr>
              <w:tabs>
                <w:tab w:val="left" w:pos="560"/>
              </w:tabs>
              <w:snapToGrid w:val="0"/>
              <w:jc w:val="center"/>
              <w:rPr>
                <w:rFonts w:hint="eastAsia" w:ascii="宋体"/>
                <w:color w:val="auto"/>
                <w:sz w:val="21"/>
                <w:szCs w:val="21"/>
              </w:rPr>
            </w:pPr>
            <w:r>
              <w:rPr>
                <w:rFonts w:hint="eastAsia" w:ascii="宋体"/>
                <w:color w:val="auto"/>
                <w:sz w:val="21"/>
                <w:szCs w:val="21"/>
              </w:rPr>
              <w:t>（保证效率点）</w:t>
            </w:r>
          </w:p>
        </w:tc>
        <w:tc>
          <w:tcPr>
            <w:tcW w:w="1780" w:type="dxa"/>
            <w:vMerge w:val="restart"/>
            <w:noWrap w:val="0"/>
            <w:vAlign w:val="center"/>
          </w:tcPr>
          <w:p w14:paraId="67754921">
            <w:pPr>
              <w:tabs>
                <w:tab w:val="left" w:pos="560"/>
              </w:tabs>
              <w:snapToGrid w:val="0"/>
              <w:jc w:val="center"/>
              <w:rPr>
                <w:rFonts w:hint="eastAsia" w:ascii="宋体"/>
                <w:color w:val="auto"/>
                <w:sz w:val="21"/>
                <w:szCs w:val="21"/>
              </w:rPr>
            </w:pPr>
            <w:r>
              <w:rPr>
                <w:rFonts w:hint="eastAsia" w:ascii="宋体"/>
                <w:color w:val="auto"/>
                <w:sz w:val="21"/>
                <w:szCs w:val="21"/>
              </w:rPr>
              <w:t>设计点</w:t>
            </w:r>
          </w:p>
        </w:tc>
      </w:tr>
      <w:tr w14:paraId="360C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3420" w:type="dxa"/>
            <w:noWrap w:val="0"/>
            <w:vAlign w:val="top"/>
          </w:tcPr>
          <w:p w14:paraId="0F624CD9">
            <w:pPr>
              <w:tabs>
                <w:tab w:val="left" w:pos="560"/>
              </w:tabs>
              <w:snapToGrid w:val="0"/>
              <w:jc w:val="center"/>
              <w:rPr>
                <w:rFonts w:hint="eastAsia" w:ascii="宋体"/>
                <w:color w:val="auto"/>
                <w:sz w:val="21"/>
                <w:szCs w:val="21"/>
              </w:rPr>
            </w:pPr>
            <w:r>
              <w:rPr>
                <w:rFonts w:hint="eastAsia" w:ascii="宋体"/>
                <w:color w:val="auto"/>
                <w:sz w:val="21"/>
                <w:szCs w:val="21"/>
              </w:rPr>
              <w:t>项   目</w:t>
            </w:r>
          </w:p>
        </w:tc>
        <w:tc>
          <w:tcPr>
            <w:tcW w:w="1580" w:type="dxa"/>
            <w:noWrap w:val="0"/>
            <w:vAlign w:val="top"/>
          </w:tcPr>
          <w:p w14:paraId="07B724BB">
            <w:pPr>
              <w:tabs>
                <w:tab w:val="left" w:pos="560"/>
              </w:tabs>
              <w:snapToGrid w:val="0"/>
              <w:jc w:val="center"/>
              <w:rPr>
                <w:rFonts w:hint="eastAsia" w:ascii="宋体"/>
                <w:color w:val="auto"/>
                <w:sz w:val="21"/>
                <w:szCs w:val="21"/>
              </w:rPr>
            </w:pPr>
            <w:r>
              <w:rPr>
                <w:rFonts w:hint="eastAsia" w:ascii="宋体"/>
                <w:color w:val="auto"/>
                <w:sz w:val="21"/>
                <w:szCs w:val="21"/>
              </w:rPr>
              <w:t>单  位</w:t>
            </w:r>
          </w:p>
        </w:tc>
        <w:tc>
          <w:tcPr>
            <w:tcW w:w="2340" w:type="dxa"/>
            <w:vMerge w:val="continue"/>
            <w:noWrap w:val="0"/>
            <w:vAlign w:val="top"/>
          </w:tcPr>
          <w:p w14:paraId="666CD0B1">
            <w:pPr>
              <w:tabs>
                <w:tab w:val="left" w:pos="560"/>
              </w:tabs>
              <w:snapToGrid w:val="0"/>
              <w:jc w:val="center"/>
              <w:rPr>
                <w:rFonts w:hint="eastAsia" w:ascii="宋体"/>
                <w:color w:val="auto"/>
                <w:sz w:val="21"/>
                <w:szCs w:val="21"/>
              </w:rPr>
            </w:pPr>
          </w:p>
        </w:tc>
        <w:tc>
          <w:tcPr>
            <w:tcW w:w="1780" w:type="dxa"/>
            <w:vMerge w:val="continue"/>
            <w:noWrap w:val="0"/>
            <w:vAlign w:val="top"/>
          </w:tcPr>
          <w:p w14:paraId="0CD85B81">
            <w:pPr>
              <w:tabs>
                <w:tab w:val="left" w:pos="560"/>
              </w:tabs>
              <w:snapToGrid w:val="0"/>
              <w:jc w:val="center"/>
              <w:rPr>
                <w:rFonts w:hint="eastAsia" w:ascii="宋体"/>
                <w:color w:val="auto"/>
                <w:sz w:val="21"/>
                <w:szCs w:val="21"/>
              </w:rPr>
            </w:pPr>
          </w:p>
        </w:tc>
      </w:tr>
      <w:tr w14:paraId="0D93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noWrap w:val="0"/>
            <w:vAlign w:val="top"/>
          </w:tcPr>
          <w:p w14:paraId="2A48EFAC">
            <w:pPr>
              <w:tabs>
                <w:tab w:val="left" w:pos="560"/>
              </w:tabs>
              <w:snapToGrid w:val="0"/>
              <w:rPr>
                <w:rFonts w:hint="eastAsia" w:ascii="宋体"/>
                <w:color w:val="auto"/>
                <w:sz w:val="21"/>
                <w:szCs w:val="21"/>
              </w:rPr>
            </w:pPr>
            <w:r>
              <w:rPr>
                <w:rFonts w:hint="eastAsia" w:ascii="宋体"/>
                <w:color w:val="auto"/>
                <w:sz w:val="21"/>
                <w:szCs w:val="21"/>
              </w:rPr>
              <w:t>扬  程</w:t>
            </w:r>
          </w:p>
        </w:tc>
        <w:tc>
          <w:tcPr>
            <w:tcW w:w="1580" w:type="dxa"/>
            <w:noWrap w:val="0"/>
            <w:vAlign w:val="top"/>
          </w:tcPr>
          <w:p w14:paraId="03952D66">
            <w:pPr>
              <w:tabs>
                <w:tab w:val="left" w:pos="560"/>
              </w:tabs>
              <w:snapToGrid w:val="0"/>
              <w:jc w:val="center"/>
              <w:rPr>
                <w:rFonts w:hint="eastAsia" w:ascii="宋体"/>
                <w:color w:val="auto"/>
                <w:sz w:val="21"/>
                <w:szCs w:val="21"/>
              </w:rPr>
            </w:pPr>
            <w:r>
              <w:rPr>
                <w:rFonts w:hint="eastAsia" w:ascii="宋体"/>
                <w:color w:val="auto"/>
                <w:sz w:val="21"/>
                <w:szCs w:val="21"/>
              </w:rPr>
              <w:t>M</w:t>
            </w:r>
          </w:p>
        </w:tc>
        <w:tc>
          <w:tcPr>
            <w:tcW w:w="2340" w:type="dxa"/>
            <w:noWrap w:val="0"/>
            <w:vAlign w:val="center"/>
          </w:tcPr>
          <w:p w14:paraId="493A5D8F">
            <w:pPr>
              <w:tabs>
                <w:tab w:val="left" w:pos="560"/>
              </w:tabs>
              <w:snapToGrid w:val="0"/>
              <w:jc w:val="center"/>
              <w:rPr>
                <w:rFonts w:hint="default" w:ascii="宋体" w:eastAsia="宋体"/>
                <w:color w:val="auto"/>
                <w:sz w:val="21"/>
                <w:szCs w:val="21"/>
                <w:lang w:val="en-US" w:eastAsia="zh-CN"/>
              </w:rPr>
            </w:pPr>
          </w:p>
        </w:tc>
        <w:tc>
          <w:tcPr>
            <w:tcW w:w="1780" w:type="dxa"/>
            <w:noWrap w:val="0"/>
            <w:vAlign w:val="center"/>
          </w:tcPr>
          <w:p w14:paraId="696E45E4">
            <w:pPr>
              <w:tabs>
                <w:tab w:val="left" w:pos="560"/>
              </w:tabs>
              <w:snapToGrid w:val="0"/>
              <w:jc w:val="center"/>
              <w:rPr>
                <w:rFonts w:hint="eastAsia" w:ascii="宋体" w:eastAsia="宋体"/>
                <w:color w:val="auto"/>
                <w:kern w:val="2"/>
                <w:sz w:val="21"/>
                <w:szCs w:val="21"/>
                <w:lang w:val="en-US" w:eastAsia="zh-CN" w:bidi="ar-SA"/>
              </w:rPr>
            </w:pPr>
            <w:r>
              <w:rPr>
                <w:rFonts w:hint="eastAsia" w:ascii="宋体"/>
                <w:color w:val="auto"/>
                <w:sz w:val="21"/>
                <w:szCs w:val="21"/>
                <w:lang w:val="en-US" w:eastAsia="zh-CN"/>
              </w:rPr>
              <w:t>29/23</w:t>
            </w:r>
          </w:p>
        </w:tc>
      </w:tr>
      <w:tr w14:paraId="0680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noWrap w:val="0"/>
            <w:vAlign w:val="top"/>
          </w:tcPr>
          <w:p w14:paraId="7F12510B">
            <w:pPr>
              <w:tabs>
                <w:tab w:val="left" w:pos="560"/>
              </w:tabs>
              <w:snapToGrid w:val="0"/>
              <w:rPr>
                <w:rFonts w:hint="eastAsia" w:ascii="宋体"/>
                <w:color w:val="auto"/>
                <w:sz w:val="21"/>
                <w:szCs w:val="21"/>
              </w:rPr>
            </w:pPr>
            <w:r>
              <w:rPr>
                <w:rFonts w:hint="eastAsia" w:ascii="宋体"/>
                <w:color w:val="auto"/>
                <w:sz w:val="21"/>
                <w:szCs w:val="21"/>
              </w:rPr>
              <w:t>流量</w:t>
            </w:r>
          </w:p>
        </w:tc>
        <w:tc>
          <w:tcPr>
            <w:tcW w:w="1580" w:type="dxa"/>
            <w:noWrap w:val="0"/>
            <w:vAlign w:val="top"/>
          </w:tcPr>
          <w:p w14:paraId="4B75C1F6">
            <w:pPr>
              <w:tabs>
                <w:tab w:val="left" w:pos="560"/>
              </w:tabs>
              <w:snapToGrid w:val="0"/>
              <w:jc w:val="center"/>
              <w:rPr>
                <w:rFonts w:hint="eastAsia" w:ascii="宋体"/>
                <w:color w:val="auto"/>
                <w:sz w:val="21"/>
                <w:szCs w:val="21"/>
              </w:rPr>
            </w:pPr>
            <w:r>
              <w:rPr>
                <w:rFonts w:hint="eastAsia" w:ascii="宋体"/>
                <w:color w:val="auto"/>
                <w:sz w:val="21"/>
                <w:szCs w:val="21"/>
              </w:rPr>
              <w:t>t/h</w:t>
            </w:r>
          </w:p>
        </w:tc>
        <w:tc>
          <w:tcPr>
            <w:tcW w:w="2340" w:type="dxa"/>
            <w:noWrap w:val="0"/>
            <w:vAlign w:val="center"/>
          </w:tcPr>
          <w:p w14:paraId="340730F8">
            <w:pPr>
              <w:snapToGrid w:val="0"/>
              <w:ind w:firstLine="720"/>
              <w:rPr>
                <w:rFonts w:hint="default" w:ascii="Times" w:hAnsi="Times" w:eastAsia="宋体"/>
                <w:color w:val="auto"/>
                <w:sz w:val="21"/>
                <w:szCs w:val="21"/>
                <w:lang w:val="en-US" w:eastAsia="zh-CN"/>
              </w:rPr>
            </w:pPr>
          </w:p>
        </w:tc>
        <w:tc>
          <w:tcPr>
            <w:tcW w:w="1780" w:type="dxa"/>
            <w:noWrap w:val="0"/>
            <w:vAlign w:val="center"/>
          </w:tcPr>
          <w:p w14:paraId="45AEFE1A">
            <w:pPr>
              <w:snapToGrid w:val="0"/>
              <w:jc w:val="center"/>
              <w:rPr>
                <w:rFonts w:hint="eastAsia" w:ascii="Times" w:hAnsi="Times" w:eastAsia="宋体"/>
                <w:color w:val="auto"/>
                <w:kern w:val="2"/>
                <w:sz w:val="21"/>
                <w:szCs w:val="21"/>
                <w:lang w:val="en-US" w:eastAsia="zh-CN" w:bidi="ar-SA"/>
              </w:rPr>
            </w:pPr>
            <w:r>
              <w:rPr>
                <w:rFonts w:hint="eastAsia" w:ascii="宋体" w:hAnsi="宋体" w:eastAsia="宋体" w:cs="宋体"/>
                <w:color w:val="auto"/>
                <w:sz w:val="21"/>
                <w:szCs w:val="21"/>
                <w:lang w:val="en-US" w:eastAsia="zh-CN"/>
              </w:rPr>
              <w:t>35568/42660</w:t>
            </w:r>
          </w:p>
        </w:tc>
      </w:tr>
      <w:tr w14:paraId="682B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noWrap w:val="0"/>
            <w:vAlign w:val="top"/>
          </w:tcPr>
          <w:p w14:paraId="7A98ECD1">
            <w:pPr>
              <w:tabs>
                <w:tab w:val="left" w:pos="560"/>
              </w:tabs>
              <w:snapToGrid w:val="0"/>
              <w:rPr>
                <w:rFonts w:hint="eastAsia" w:ascii="宋体"/>
                <w:color w:val="auto"/>
                <w:sz w:val="21"/>
                <w:szCs w:val="21"/>
              </w:rPr>
            </w:pPr>
            <w:r>
              <w:rPr>
                <w:rFonts w:hint="eastAsia" w:ascii="宋体"/>
                <w:color w:val="auto"/>
                <w:sz w:val="21"/>
                <w:szCs w:val="21"/>
              </w:rPr>
              <w:t>效  率</w:t>
            </w:r>
          </w:p>
        </w:tc>
        <w:tc>
          <w:tcPr>
            <w:tcW w:w="1580" w:type="dxa"/>
            <w:noWrap w:val="0"/>
            <w:vAlign w:val="top"/>
          </w:tcPr>
          <w:p w14:paraId="6760B85F">
            <w:pPr>
              <w:tabs>
                <w:tab w:val="left" w:pos="560"/>
              </w:tabs>
              <w:snapToGrid w:val="0"/>
              <w:jc w:val="center"/>
              <w:rPr>
                <w:rFonts w:hint="eastAsia" w:ascii="宋体"/>
                <w:color w:val="auto"/>
                <w:sz w:val="21"/>
                <w:szCs w:val="21"/>
              </w:rPr>
            </w:pPr>
            <w:r>
              <w:rPr>
                <w:rFonts w:hint="eastAsia" w:ascii="宋体"/>
                <w:color w:val="auto"/>
                <w:sz w:val="21"/>
                <w:szCs w:val="21"/>
              </w:rPr>
              <w:t>％</w:t>
            </w:r>
          </w:p>
        </w:tc>
        <w:tc>
          <w:tcPr>
            <w:tcW w:w="2340" w:type="dxa"/>
            <w:noWrap w:val="0"/>
            <w:vAlign w:val="center"/>
          </w:tcPr>
          <w:p w14:paraId="4C945F19">
            <w:pPr>
              <w:tabs>
                <w:tab w:val="left" w:pos="560"/>
              </w:tabs>
              <w:snapToGrid w:val="0"/>
              <w:jc w:val="center"/>
              <w:rPr>
                <w:rFonts w:hint="default" w:ascii="宋体" w:eastAsia="宋体"/>
                <w:color w:val="auto"/>
                <w:sz w:val="21"/>
                <w:szCs w:val="21"/>
                <w:lang w:val="en-US" w:eastAsia="zh-CN"/>
              </w:rPr>
            </w:pPr>
          </w:p>
        </w:tc>
        <w:tc>
          <w:tcPr>
            <w:tcW w:w="1780" w:type="dxa"/>
            <w:noWrap w:val="0"/>
            <w:vAlign w:val="center"/>
          </w:tcPr>
          <w:p w14:paraId="7604F764">
            <w:pPr>
              <w:tabs>
                <w:tab w:val="left" w:pos="560"/>
              </w:tabs>
              <w:snapToGrid w:val="0"/>
              <w:jc w:val="center"/>
              <w:rPr>
                <w:rFonts w:hint="eastAsia" w:ascii="宋体" w:eastAsia="宋体"/>
                <w:color w:val="auto"/>
                <w:kern w:val="2"/>
                <w:sz w:val="21"/>
                <w:szCs w:val="21"/>
                <w:lang w:val="en-US" w:eastAsia="zh-CN" w:bidi="ar-SA"/>
              </w:rPr>
            </w:pPr>
            <w:r>
              <w:rPr>
                <w:rFonts w:hint="eastAsia" w:ascii="宋体"/>
                <w:color w:val="auto"/>
                <w:sz w:val="21"/>
                <w:szCs w:val="21"/>
                <w:lang w:val="en-US" w:eastAsia="zh-CN"/>
              </w:rPr>
              <w:t>88/86</w:t>
            </w:r>
          </w:p>
        </w:tc>
      </w:tr>
      <w:tr w14:paraId="2876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noWrap w:val="0"/>
            <w:vAlign w:val="top"/>
          </w:tcPr>
          <w:p w14:paraId="56CEE253">
            <w:pPr>
              <w:tabs>
                <w:tab w:val="left" w:pos="560"/>
              </w:tabs>
              <w:snapToGrid w:val="0"/>
              <w:rPr>
                <w:rFonts w:hint="eastAsia" w:ascii="宋体"/>
                <w:color w:val="auto"/>
                <w:sz w:val="21"/>
                <w:szCs w:val="21"/>
              </w:rPr>
            </w:pPr>
            <w:r>
              <w:rPr>
                <w:rFonts w:hint="eastAsia" w:ascii="宋体"/>
                <w:color w:val="auto"/>
                <w:sz w:val="21"/>
                <w:szCs w:val="21"/>
              </w:rPr>
              <w:t>必须汽蚀余量</w:t>
            </w:r>
            <w:r>
              <w:rPr>
                <w:rFonts w:hint="eastAsia"/>
                <w:color w:val="auto"/>
                <w:sz w:val="21"/>
                <w:szCs w:val="21"/>
              </w:rPr>
              <w:t>（首级叶轮中心线</w:t>
            </w:r>
            <w:r>
              <w:rPr>
                <w:color w:val="auto"/>
                <w:sz w:val="21"/>
                <w:szCs w:val="21"/>
              </w:rPr>
              <w:t>NPSHr</w:t>
            </w:r>
            <w:r>
              <w:rPr>
                <w:rFonts w:hint="eastAsia"/>
                <w:color w:val="auto"/>
                <w:sz w:val="21"/>
                <w:szCs w:val="21"/>
              </w:rPr>
              <w:t>）</w:t>
            </w:r>
          </w:p>
        </w:tc>
        <w:tc>
          <w:tcPr>
            <w:tcW w:w="1580" w:type="dxa"/>
            <w:noWrap w:val="0"/>
            <w:vAlign w:val="top"/>
          </w:tcPr>
          <w:p w14:paraId="72327720">
            <w:pPr>
              <w:tabs>
                <w:tab w:val="left" w:pos="560"/>
              </w:tabs>
              <w:snapToGrid w:val="0"/>
              <w:jc w:val="center"/>
              <w:rPr>
                <w:rFonts w:hint="eastAsia" w:ascii="宋体"/>
                <w:color w:val="auto"/>
                <w:sz w:val="21"/>
                <w:szCs w:val="21"/>
              </w:rPr>
            </w:pPr>
            <w:r>
              <w:rPr>
                <w:rFonts w:hint="eastAsia" w:ascii="宋体"/>
                <w:color w:val="auto"/>
                <w:sz w:val="21"/>
                <w:szCs w:val="21"/>
              </w:rPr>
              <w:t>M</w:t>
            </w:r>
          </w:p>
        </w:tc>
        <w:tc>
          <w:tcPr>
            <w:tcW w:w="2340" w:type="dxa"/>
            <w:noWrap w:val="0"/>
            <w:vAlign w:val="center"/>
          </w:tcPr>
          <w:p w14:paraId="6014A3F2">
            <w:pPr>
              <w:tabs>
                <w:tab w:val="left" w:pos="560"/>
              </w:tabs>
              <w:snapToGrid w:val="0"/>
              <w:jc w:val="center"/>
              <w:rPr>
                <w:rFonts w:hint="default" w:ascii="宋体" w:eastAsia="宋体"/>
                <w:color w:val="auto"/>
                <w:sz w:val="21"/>
                <w:szCs w:val="21"/>
                <w:lang w:val="en-US" w:eastAsia="zh-CN"/>
              </w:rPr>
            </w:pPr>
          </w:p>
        </w:tc>
        <w:tc>
          <w:tcPr>
            <w:tcW w:w="1780" w:type="dxa"/>
            <w:noWrap w:val="0"/>
            <w:vAlign w:val="center"/>
          </w:tcPr>
          <w:p w14:paraId="10CE1AC3">
            <w:pPr>
              <w:tabs>
                <w:tab w:val="left" w:pos="560"/>
              </w:tabs>
              <w:snapToGrid w:val="0"/>
              <w:jc w:val="center"/>
              <w:rPr>
                <w:rFonts w:hint="eastAsia" w:ascii="宋体" w:eastAsia="宋体"/>
                <w:color w:val="auto"/>
                <w:kern w:val="2"/>
                <w:sz w:val="21"/>
                <w:szCs w:val="21"/>
                <w:lang w:val="en-US" w:eastAsia="zh-CN" w:bidi="ar-SA"/>
              </w:rPr>
            </w:pPr>
            <w:r>
              <w:rPr>
                <w:rFonts w:hint="eastAsia" w:ascii="宋体"/>
                <w:color w:val="auto"/>
                <w:sz w:val="21"/>
                <w:szCs w:val="21"/>
                <w:lang w:val="en-US" w:eastAsia="zh-CN"/>
              </w:rPr>
              <w:t>10.1/11.5</w:t>
            </w:r>
          </w:p>
        </w:tc>
      </w:tr>
      <w:tr w14:paraId="2DD1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noWrap w:val="0"/>
            <w:vAlign w:val="top"/>
          </w:tcPr>
          <w:p w14:paraId="1593AFD2">
            <w:pPr>
              <w:tabs>
                <w:tab w:val="left" w:pos="560"/>
              </w:tabs>
              <w:snapToGrid w:val="0"/>
              <w:rPr>
                <w:rFonts w:hint="eastAsia" w:ascii="宋体"/>
                <w:color w:val="auto"/>
                <w:sz w:val="21"/>
                <w:szCs w:val="21"/>
              </w:rPr>
            </w:pPr>
            <w:r>
              <w:rPr>
                <w:rFonts w:hint="eastAsia" w:ascii="宋体"/>
                <w:color w:val="auto"/>
                <w:sz w:val="21"/>
                <w:szCs w:val="21"/>
              </w:rPr>
              <w:t>转  速</w:t>
            </w:r>
          </w:p>
        </w:tc>
        <w:tc>
          <w:tcPr>
            <w:tcW w:w="1580" w:type="dxa"/>
            <w:noWrap w:val="0"/>
            <w:vAlign w:val="top"/>
          </w:tcPr>
          <w:p w14:paraId="6418A3D5">
            <w:pPr>
              <w:tabs>
                <w:tab w:val="left" w:pos="560"/>
              </w:tabs>
              <w:snapToGrid w:val="0"/>
              <w:jc w:val="center"/>
              <w:rPr>
                <w:rFonts w:ascii="宋体"/>
                <w:color w:val="auto"/>
                <w:sz w:val="21"/>
                <w:szCs w:val="21"/>
              </w:rPr>
            </w:pPr>
            <w:r>
              <w:rPr>
                <w:rFonts w:ascii="宋体"/>
                <w:color w:val="auto"/>
                <w:sz w:val="21"/>
                <w:szCs w:val="21"/>
              </w:rPr>
              <w:t>r/min</w:t>
            </w:r>
          </w:p>
        </w:tc>
        <w:tc>
          <w:tcPr>
            <w:tcW w:w="2340" w:type="dxa"/>
            <w:noWrap w:val="0"/>
            <w:vAlign w:val="center"/>
          </w:tcPr>
          <w:p w14:paraId="0A0B7F38">
            <w:pPr>
              <w:tabs>
                <w:tab w:val="left" w:pos="560"/>
              </w:tabs>
              <w:snapToGrid w:val="0"/>
              <w:jc w:val="center"/>
              <w:rPr>
                <w:rFonts w:hint="default" w:ascii="宋体" w:eastAsia="宋体"/>
                <w:color w:val="auto"/>
                <w:sz w:val="21"/>
                <w:szCs w:val="21"/>
                <w:lang w:val="en-US" w:eastAsia="zh-CN"/>
              </w:rPr>
            </w:pPr>
          </w:p>
        </w:tc>
        <w:tc>
          <w:tcPr>
            <w:tcW w:w="1780" w:type="dxa"/>
            <w:noWrap w:val="0"/>
            <w:vAlign w:val="center"/>
          </w:tcPr>
          <w:p w14:paraId="0E6E32F7">
            <w:pPr>
              <w:tabs>
                <w:tab w:val="left" w:pos="560"/>
              </w:tabs>
              <w:snapToGrid w:val="0"/>
              <w:jc w:val="center"/>
              <w:rPr>
                <w:rFonts w:hint="eastAsia" w:ascii="宋体" w:eastAsia="宋体"/>
                <w:color w:val="auto"/>
                <w:kern w:val="2"/>
                <w:sz w:val="21"/>
                <w:szCs w:val="21"/>
                <w:lang w:val="en-US" w:eastAsia="zh-CN" w:bidi="ar-SA"/>
              </w:rPr>
            </w:pPr>
            <w:r>
              <w:rPr>
                <w:rFonts w:hint="eastAsia" w:ascii="宋体"/>
                <w:color w:val="auto"/>
                <w:sz w:val="21"/>
                <w:szCs w:val="21"/>
                <w:lang w:val="en-US" w:eastAsia="zh-CN"/>
              </w:rPr>
              <w:t>371</w:t>
            </w:r>
          </w:p>
        </w:tc>
      </w:tr>
      <w:tr w14:paraId="491B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20" w:type="dxa"/>
            <w:noWrap w:val="0"/>
            <w:vAlign w:val="top"/>
          </w:tcPr>
          <w:p w14:paraId="5C2F32B8">
            <w:pPr>
              <w:tabs>
                <w:tab w:val="left" w:pos="560"/>
              </w:tabs>
              <w:snapToGrid w:val="0"/>
              <w:jc w:val="both"/>
              <w:rPr>
                <w:rFonts w:hint="eastAsia" w:ascii="宋体"/>
                <w:color w:val="auto"/>
                <w:sz w:val="21"/>
                <w:szCs w:val="21"/>
              </w:rPr>
            </w:pPr>
            <w:r>
              <w:rPr>
                <w:rFonts w:hint="eastAsia" w:ascii="宋体"/>
                <w:color w:val="auto"/>
                <w:sz w:val="21"/>
                <w:szCs w:val="21"/>
              </w:rPr>
              <w:t>型  号</w:t>
            </w:r>
          </w:p>
        </w:tc>
        <w:tc>
          <w:tcPr>
            <w:tcW w:w="5700" w:type="dxa"/>
            <w:gridSpan w:val="3"/>
            <w:noWrap w:val="0"/>
            <w:vAlign w:val="top"/>
          </w:tcPr>
          <w:p w14:paraId="6DC98C3D">
            <w:pPr>
              <w:tabs>
                <w:tab w:val="left" w:pos="560"/>
              </w:tabs>
              <w:snapToGrid w:val="0"/>
              <w:ind w:firstLine="1680" w:firstLineChars="800"/>
              <w:rPr>
                <w:rFonts w:hint="default" w:ascii="宋体" w:eastAsia="宋体"/>
                <w:color w:val="auto"/>
                <w:sz w:val="21"/>
                <w:szCs w:val="21"/>
                <w:lang w:val="en-US" w:eastAsia="zh-CN"/>
              </w:rPr>
            </w:pPr>
            <w:r>
              <w:rPr>
                <w:rFonts w:hint="eastAsia" w:ascii="宋体"/>
                <w:color w:val="auto"/>
                <w:sz w:val="21"/>
                <w:szCs w:val="21"/>
                <w:lang w:val="en-US" w:eastAsia="zh-CN"/>
              </w:rPr>
              <w:t>2200HLBK-29（长沙利欧）</w:t>
            </w:r>
          </w:p>
        </w:tc>
      </w:tr>
    </w:tbl>
    <w:p w14:paraId="5D7DDBA6">
      <w:pPr>
        <w:spacing w:line="360" w:lineRule="auto"/>
        <w:rPr>
          <w:rFonts w:hint="eastAsia" w:ascii="Arial" w:cs="Arial"/>
          <w:color w:val="000000"/>
          <w:szCs w:val="21"/>
        </w:rPr>
      </w:pPr>
      <w:r>
        <w:rPr>
          <w:rFonts w:hint="eastAsia" w:ascii="Arial" w:hAnsi="Arial" w:cs="Arial"/>
          <w:color w:val="000000"/>
          <w:szCs w:val="21"/>
        </w:rPr>
        <w:t xml:space="preserve">2.4  </w:t>
      </w:r>
      <w:r>
        <w:rPr>
          <w:rFonts w:ascii="Arial" w:cs="Arial"/>
          <w:color w:val="000000"/>
          <w:szCs w:val="21"/>
        </w:rPr>
        <w:t>电气</w:t>
      </w:r>
      <w:r>
        <w:rPr>
          <w:rFonts w:hint="eastAsia" w:ascii="Arial" w:cs="Arial"/>
          <w:color w:val="000000"/>
          <w:szCs w:val="21"/>
        </w:rPr>
        <w:t>要求</w:t>
      </w:r>
    </w:p>
    <w:p w14:paraId="659C1C42">
      <w:pPr>
        <w:keepNext w:val="0"/>
        <w:keepLines w:val="0"/>
        <w:widowControl/>
        <w:suppressLineNumbers w:val="0"/>
        <w:jc w:val="left"/>
        <w:rPr>
          <w:rFonts w:hint="default" w:ascii="Arial" w:eastAsia="宋体" w:cs="Arial"/>
          <w:color w:val="auto"/>
          <w:szCs w:val="21"/>
          <w:highlight w:val="none"/>
          <w:lang w:val="en-US" w:eastAsia="zh-CN"/>
        </w:rPr>
      </w:pPr>
      <w:r>
        <w:rPr>
          <w:rFonts w:hint="eastAsia" w:ascii="Arial" w:hAnsi="Arial" w:cs="Arial"/>
          <w:color w:val="000000"/>
          <w:szCs w:val="21"/>
        </w:rPr>
        <w:t>2.4</w:t>
      </w:r>
      <w:r>
        <w:rPr>
          <w:rFonts w:ascii="Arial" w:hAnsi="Arial" w:cs="Arial"/>
          <w:color w:val="000000"/>
          <w:szCs w:val="21"/>
        </w:rPr>
        <w:t>.</w:t>
      </w:r>
      <w:r>
        <w:rPr>
          <w:rFonts w:hint="eastAsia" w:ascii="Arial" w:hAnsi="Arial" w:cs="Arial"/>
          <w:color w:val="000000"/>
          <w:szCs w:val="21"/>
        </w:rPr>
        <w:t>1</w:t>
      </w:r>
      <w:r>
        <w:rPr>
          <w:rFonts w:hint="eastAsia" w:ascii="Arial" w:cs="Arial"/>
          <w:color w:val="000000"/>
          <w:szCs w:val="21"/>
        </w:rPr>
        <w:t>变频器配置方案：采用一</w:t>
      </w:r>
      <w:r>
        <w:rPr>
          <w:rFonts w:ascii="Arial" w:cs="Arial"/>
          <w:color w:val="000000"/>
          <w:szCs w:val="21"/>
        </w:rPr>
        <w:t>拖</w:t>
      </w:r>
      <w:r>
        <w:rPr>
          <w:rFonts w:hint="eastAsia" w:ascii="Arial" w:cs="Arial"/>
          <w:color w:val="000000"/>
          <w:szCs w:val="21"/>
        </w:rPr>
        <w:t>一</w:t>
      </w:r>
      <w:r>
        <w:rPr>
          <w:rFonts w:ascii="Arial" w:cs="Arial"/>
          <w:color w:val="000000"/>
          <w:szCs w:val="21"/>
        </w:rPr>
        <w:t>方式</w:t>
      </w:r>
      <w:r>
        <w:rPr>
          <w:rFonts w:hint="eastAsia" w:ascii="Arial" w:cs="Arial"/>
          <w:color w:val="000000"/>
          <w:szCs w:val="21"/>
        </w:rPr>
        <w:t>，即一台电机配置一套变频装置</w:t>
      </w:r>
      <w:r>
        <w:rPr>
          <w:rFonts w:hint="eastAsia" w:ascii="Arial" w:cs="Arial"/>
          <w:szCs w:val="21"/>
        </w:rPr>
        <w:t>；</w:t>
      </w:r>
      <w:r>
        <w:rPr>
          <w:rFonts w:hint="eastAsia" w:ascii="Arial" w:cs="Arial"/>
          <w:color w:val="auto"/>
          <w:szCs w:val="21"/>
          <w:highlight w:val="none"/>
          <w:lang w:val="en-US" w:eastAsia="zh-CN"/>
        </w:rPr>
        <w:t>#2</w:t>
      </w:r>
      <w:r>
        <w:rPr>
          <w:rFonts w:hint="eastAsia" w:ascii="Arial" w:cs="Arial"/>
          <w:color w:val="auto"/>
          <w:szCs w:val="21"/>
          <w:highlight w:val="none"/>
        </w:rPr>
        <w:t>机组配置</w:t>
      </w:r>
      <w:r>
        <w:rPr>
          <w:rFonts w:hint="eastAsia" w:ascii="Arial" w:cs="Arial"/>
          <w:color w:val="auto"/>
          <w:szCs w:val="21"/>
          <w:highlight w:val="none"/>
          <w:lang w:val="en-US" w:eastAsia="zh-CN"/>
        </w:rPr>
        <w:t>1</w:t>
      </w:r>
      <w:r>
        <w:rPr>
          <w:rFonts w:hint="eastAsia" w:ascii="Arial" w:cs="Arial"/>
          <w:color w:val="auto"/>
          <w:szCs w:val="21"/>
          <w:highlight w:val="none"/>
        </w:rPr>
        <w:t>套变频装置，</w:t>
      </w:r>
      <w:r>
        <w:rPr>
          <w:rFonts w:hint="eastAsia" w:ascii="Arial" w:cs="Arial"/>
          <w:color w:val="auto"/>
          <w:szCs w:val="21"/>
          <w:highlight w:val="none"/>
          <w:lang w:val="en-US" w:eastAsia="zh-CN"/>
        </w:rPr>
        <w:t>另外1台循环水泵电机加装高/低速切换刀闸柜（手动）</w:t>
      </w:r>
      <w:r>
        <w:rPr>
          <w:rFonts w:hint="eastAsia" w:ascii="Arial" w:cs="Arial"/>
          <w:color w:val="auto"/>
          <w:szCs w:val="21"/>
          <w:highlight w:val="none"/>
        </w:rPr>
        <w:t>。</w:t>
      </w:r>
      <w:r>
        <w:rPr>
          <w:rFonts w:hint="eastAsia" w:ascii="Arial" w:cs="Arial"/>
          <w:color w:val="auto"/>
          <w:szCs w:val="21"/>
          <w:highlight w:val="none"/>
          <w:lang w:val="en-US" w:eastAsia="zh-CN"/>
        </w:rPr>
        <w:t>投标</w:t>
      </w:r>
      <w:r>
        <w:rPr>
          <w:rFonts w:hint="eastAsia" w:ascii="Arial" w:cs="Arial"/>
          <w:color w:val="auto"/>
          <w:szCs w:val="21"/>
          <w:highlight w:val="none"/>
        </w:rPr>
        <w:t>品牌要求为性能安全稳定的进口品牌：</w:t>
      </w:r>
      <w:r>
        <w:rPr>
          <w:rFonts w:hint="eastAsia" w:ascii="Arial" w:cs="Arial"/>
          <w:color w:val="auto"/>
          <w:szCs w:val="21"/>
          <w:highlight w:val="none"/>
          <w:lang w:val="en-US" w:eastAsia="zh-CN"/>
        </w:rPr>
        <w:t>茵梦达（西门子）</w:t>
      </w:r>
      <w:r>
        <w:rPr>
          <w:rFonts w:hint="eastAsia" w:ascii="Arial" w:cs="Arial"/>
          <w:color w:val="auto"/>
          <w:szCs w:val="21"/>
          <w:highlight w:val="none"/>
        </w:rPr>
        <w:t>GH180-6SR</w:t>
      </w:r>
      <w:r>
        <w:rPr>
          <w:rFonts w:hint="eastAsia" w:ascii="Arial" w:cs="Arial"/>
          <w:color w:val="auto"/>
          <w:szCs w:val="21"/>
          <w:highlight w:val="none"/>
          <w:lang w:val="en-US" w:eastAsia="zh-CN"/>
        </w:rPr>
        <w:t>55系列</w:t>
      </w:r>
      <w:r>
        <w:rPr>
          <w:rFonts w:hint="eastAsia" w:ascii="Arial" w:cs="Arial"/>
          <w:color w:val="auto"/>
          <w:szCs w:val="21"/>
          <w:highlight w:val="none"/>
        </w:rPr>
        <w:t>、ABB</w:t>
      </w:r>
      <w:r>
        <w:rPr>
          <w:rFonts w:hint="eastAsia" w:ascii="Arial" w:cs="Arial"/>
          <w:color w:val="auto"/>
          <w:szCs w:val="21"/>
          <w:highlight w:val="none"/>
          <w:lang w:val="en-US" w:eastAsia="zh-CN"/>
        </w:rPr>
        <w:t xml:space="preserve"> </w:t>
      </w:r>
      <w:r>
        <w:rPr>
          <w:rFonts w:hint="eastAsia" w:ascii="Arial" w:cs="Arial"/>
          <w:color w:val="auto"/>
          <w:szCs w:val="21"/>
          <w:highlight w:val="none"/>
        </w:rPr>
        <w:t>ACS</w:t>
      </w:r>
      <w:r>
        <w:rPr>
          <w:rFonts w:hint="eastAsia" w:ascii="Arial" w:cs="Arial"/>
          <w:color w:val="auto"/>
          <w:szCs w:val="21"/>
          <w:highlight w:val="none"/>
          <w:lang w:val="en-US" w:eastAsia="zh-CN"/>
        </w:rPr>
        <w:t>580MV系列</w:t>
      </w:r>
      <w:r>
        <w:rPr>
          <w:rFonts w:hint="eastAsia" w:ascii="Arial" w:cs="Arial"/>
          <w:color w:val="auto"/>
          <w:szCs w:val="21"/>
          <w:highlight w:val="none"/>
        </w:rPr>
        <w:t>、施耐德ATV1200C</w:t>
      </w:r>
      <w:r>
        <w:rPr>
          <w:rFonts w:hint="eastAsia" w:ascii="Arial" w:cs="Arial"/>
          <w:color w:val="auto"/>
          <w:szCs w:val="21"/>
          <w:highlight w:val="none"/>
          <w:lang w:val="en-US" w:eastAsia="zh-CN"/>
        </w:rPr>
        <w:t>系列</w:t>
      </w:r>
      <w:r>
        <w:rPr>
          <w:rFonts w:hint="eastAsia" w:ascii="Arial" w:cs="Arial"/>
          <w:color w:val="auto"/>
          <w:szCs w:val="21"/>
          <w:highlight w:val="none"/>
        </w:rPr>
        <w:t>、日立</w:t>
      </w:r>
      <w:r>
        <w:rPr>
          <w:rFonts w:hint="eastAsia" w:ascii="Arial" w:cs="Arial"/>
          <w:color w:val="auto"/>
          <w:szCs w:val="21"/>
          <w:highlight w:val="none"/>
          <w:lang w:val="en-US" w:eastAsia="zh-CN"/>
        </w:rPr>
        <w:t>DHVECTOL-HI 系列</w:t>
      </w:r>
      <w:r>
        <w:rPr>
          <w:rFonts w:hint="eastAsia" w:ascii="Arial" w:cs="Arial"/>
          <w:color w:val="auto"/>
          <w:szCs w:val="21"/>
          <w:highlight w:val="none"/>
        </w:rPr>
        <w:t>，投标</w:t>
      </w:r>
      <w:r>
        <w:rPr>
          <w:rFonts w:hint="eastAsia" w:ascii="Arial" w:cs="Arial"/>
          <w:color w:val="auto"/>
          <w:szCs w:val="21"/>
          <w:highlight w:val="none"/>
          <w:lang w:val="en-US" w:eastAsia="zh-CN"/>
        </w:rPr>
        <w:t>方</w:t>
      </w:r>
      <w:r>
        <w:rPr>
          <w:rFonts w:hint="eastAsia" w:ascii="Arial" w:cs="Arial"/>
          <w:color w:val="auto"/>
          <w:szCs w:val="21"/>
          <w:highlight w:val="none"/>
        </w:rPr>
        <w:t>需出具制造厂家针对该项目的</w:t>
      </w:r>
      <w:r>
        <w:rPr>
          <w:rFonts w:hint="eastAsia" w:ascii="Arial" w:cs="Arial"/>
          <w:color w:val="auto"/>
          <w:szCs w:val="21"/>
          <w:highlight w:val="none"/>
          <w:lang w:val="en-US" w:eastAsia="zh-CN"/>
        </w:rPr>
        <w:t>正式</w:t>
      </w:r>
      <w:r>
        <w:rPr>
          <w:rFonts w:hint="eastAsia" w:ascii="Arial" w:cs="Arial"/>
          <w:color w:val="auto"/>
          <w:szCs w:val="21"/>
          <w:highlight w:val="none"/>
        </w:rPr>
        <w:t>授权。变频器输出电流</w:t>
      </w:r>
      <w:r>
        <w:rPr>
          <w:rFonts w:hint="eastAsia" w:ascii="Arial" w:cs="Arial"/>
          <w:color w:val="auto"/>
          <w:szCs w:val="21"/>
          <w:highlight w:val="none"/>
          <w:lang w:val="en-US" w:eastAsia="zh-CN"/>
        </w:rPr>
        <w:t>要求按</w:t>
      </w:r>
      <w:r>
        <w:rPr>
          <w:rFonts w:hint="eastAsia" w:ascii="Arial" w:cs="Arial"/>
          <w:color w:val="auto"/>
          <w:szCs w:val="21"/>
          <w:highlight w:val="none"/>
        </w:rPr>
        <w:t>不低于电机额定电流的 1.</w:t>
      </w:r>
      <w:r>
        <w:rPr>
          <w:rFonts w:hint="eastAsia" w:ascii="Arial" w:cs="Arial"/>
          <w:color w:val="auto"/>
          <w:szCs w:val="21"/>
          <w:highlight w:val="none"/>
          <w:lang w:val="en-US" w:eastAsia="zh-CN"/>
        </w:rPr>
        <w:t>1</w:t>
      </w:r>
      <w:r>
        <w:rPr>
          <w:rFonts w:hint="eastAsia" w:ascii="Arial" w:cs="Arial"/>
          <w:color w:val="auto"/>
          <w:szCs w:val="21"/>
          <w:highlight w:val="none"/>
        </w:rPr>
        <w:t xml:space="preserve"> 倍进行配置</w:t>
      </w:r>
      <w:r>
        <w:rPr>
          <w:rFonts w:hint="eastAsia" w:ascii="Arial" w:cs="Arial"/>
          <w:color w:val="auto"/>
          <w:szCs w:val="21"/>
          <w:highlight w:val="none"/>
          <w:lang w:eastAsia="zh-CN"/>
        </w:rPr>
        <w:t>。</w:t>
      </w:r>
    </w:p>
    <w:p w14:paraId="7E3B1AB6">
      <w:pPr>
        <w:spacing w:line="360" w:lineRule="auto"/>
        <w:rPr>
          <w:rFonts w:hint="eastAsia" w:ascii="Arial" w:cs="Arial"/>
          <w:color w:val="000000"/>
          <w:szCs w:val="21"/>
        </w:rPr>
      </w:pPr>
      <w:r>
        <w:rPr>
          <w:rFonts w:hint="eastAsia" w:ascii="Arial" w:hAnsi="Arial" w:cs="Arial"/>
          <w:color w:val="000000"/>
          <w:szCs w:val="21"/>
        </w:rPr>
        <w:t>2.4</w:t>
      </w:r>
      <w:r>
        <w:rPr>
          <w:rFonts w:ascii="Arial" w:hAnsi="Arial" w:cs="Arial"/>
          <w:color w:val="000000"/>
          <w:szCs w:val="21"/>
        </w:rPr>
        <w:t>.</w:t>
      </w:r>
      <w:r>
        <w:rPr>
          <w:rFonts w:hint="eastAsia" w:ascii="Arial" w:hAnsi="Arial" w:cs="Arial"/>
          <w:color w:val="000000"/>
          <w:szCs w:val="21"/>
        </w:rPr>
        <w:t>2</w:t>
      </w:r>
      <w:r>
        <w:rPr>
          <w:rFonts w:ascii="Arial" w:cs="Arial"/>
          <w:color w:val="000000"/>
          <w:szCs w:val="21"/>
        </w:rPr>
        <w:t>电气控制方式</w:t>
      </w:r>
      <w:r>
        <w:rPr>
          <w:rFonts w:hint="eastAsia" w:ascii="Arial" w:cs="Arial"/>
          <w:color w:val="000000"/>
          <w:szCs w:val="21"/>
        </w:rPr>
        <w:t>：具有</w:t>
      </w:r>
      <w:r>
        <w:rPr>
          <w:rFonts w:ascii="Arial" w:cs="Arial"/>
          <w:color w:val="000000"/>
          <w:szCs w:val="21"/>
        </w:rPr>
        <w:t>就地柜控制和</w:t>
      </w:r>
      <w:r>
        <w:rPr>
          <w:rFonts w:ascii="Arial" w:hAnsi="Arial" w:cs="Arial"/>
          <w:color w:val="000000"/>
          <w:szCs w:val="21"/>
        </w:rPr>
        <w:t xml:space="preserve">DCS </w:t>
      </w:r>
      <w:r>
        <w:rPr>
          <w:rFonts w:ascii="Arial" w:cs="Arial"/>
          <w:color w:val="000000"/>
          <w:szCs w:val="21"/>
        </w:rPr>
        <w:t>远方控制</w:t>
      </w:r>
      <w:r>
        <w:rPr>
          <w:rFonts w:hint="eastAsia" w:ascii="Arial" w:cs="Arial"/>
          <w:color w:val="000000"/>
          <w:szCs w:val="21"/>
        </w:rPr>
        <w:t>两种方式。</w:t>
      </w:r>
    </w:p>
    <w:p w14:paraId="7E6BA990">
      <w:pPr>
        <w:spacing w:line="360" w:lineRule="auto"/>
        <w:rPr>
          <w:rFonts w:hint="eastAsia" w:ascii="Arial" w:cs="Arial"/>
          <w:color w:val="000000"/>
          <w:szCs w:val="21"/>
        </w:rPr>
      </w:pPr>
      <w:r>
        <w:rPr>
          <w:rFonts w:hint="eastAsia" w:ascii="Arial" w:hAnsi="Arial" w:cs="Arial"/>
          <w:color w:val="000000"/>
          <w:szCs w:val="21"/>
        </w:rPr>
        <w:t>2.4</w:t>
      </w:r>
      <w:r>
        <w:rPr>
          <w:rFonts w:ascii="Arial" w:hAnsi="Arial" w:cs="Arial"/>
          <w:color w:val="000000"/>
          <w:szCs w:val="21"/>
        </w:rPr>
        <w:t>.</w:t>
      </w:r>
      <w:r>
        <w:rPr>
          <w:rFonts w:hint="eastAsia" w:ascii="Arial" w:hAnsi="Arial" w:cs="Arial"/>
          <w:color w:val="000000"/>
          <w:szCs w:val="21"/>
        </w:rPr>
        <w:t>3</w:t>
      </w:r>
      <w:r>
        <w:rPr>
          <w:rFonts w:hint="eastAsia" w:ascii="Arial" w:cs="Arial"/>
          <w:color w:val="000000"/>
          <w:szCs w:val="21"/>
        </w:rPr>
        <w:t>旁路系统：配置运行兼检修旁路，任何一台电机在任何时刻都可切换为工频运行状态</w:t>
      </w:r>
      <w:r>
        <w:rPr>
          <w:rFonts w:ascii="Arial" w:cs="Arial"/>
          <w:color w:val="000000"/>
          <w:szCs w:val="21"/>
        </w:rPr>
        <w:t>。</w:t>
      </w:r>
    </w:p>
    <w:p w14:paraId="6E0D2B3F">
      <w:pPr>
        <w:spacing w:line="360" w:lineRule="auto"/>
        <w:rPr>
          <w:rFonts w:hint="eastAsia" w:ascii="Arial" w:cs="Arial"/>
          <w:color w:val="000000"/>
          <w:szCs w:val="21"/>
        </w:rPr>
      </w:pPr>
      <w:r>
        <w:rPr>
          <w:rFonts w:hint="eastAsia" w:ascii="Arial" w:hAnsi="Arial" w:cs="Arial"/>
          <w:color w:val="000000"/>
          <w:szCs w:val="21"/>
        </w:rPr>
        <w:t>2.4</w:t>
      </w:r>
      <w:r>
        <w:rPr>
          <w:rFonts w:ascii="Arial" w:hAnsi="Arial" w:cs="Arial"/>
          <w:color w:val="000000"/>
          <w:szCs w:val="21"/>
        </w:rPr>
        <w:t>.</w:t>
      </w:r>
      <w:r>
        <w:rPr>
          <w:rFonts w:hint="eastAsia" w:ascii="Arial" w:hAnsi="Arial" w:cs="Arial"/>
          <w:color w:val="000000"/>
          <w:szCs w:val="21"/>
        </w:rPr>
        <w:t>4</w:t>
      </w:r>
      <w:r>
        <w:rPr>
          <w:rFonts w:hint="eastAsia" w:ascii="Arial" w:cs="Arial"/>
          <w:color w:val="000000"/>
          <w:szCs w:val="21"/>
        </w:rPr>
        <w:t>控制电源：低压电源供电电压：380/220V</w:t>
      </w:r>
      <w:r>
        <w:rPr>
          <w:rFonts w:hint="eastAsia" w:ascii="Arial" w:cs="Arial"/>
          <w:color w:val="000000"/>
          <w:szCs w:val="21"/>
          <w:lang w:eastAsia="zh-CN"/>
        </w:rPr>
        <w:t>，</w:t>
      </w:r>
      <w:r>
        <w:rPr>
          <w:rFonts w:hint="eastAsia" w:ascii="Arial" w:cs="Arial"/>
          <w:color w:val="000000"/>
          <w:szCs w:val="21"/>
        </w:rPr>
        <w:t>直流电源供电电压：110V（控制）</w:t>
      </w:r>
      <w:r>
        <w:rPr>
          <w:rFonts w:hint="eastAsia" w:ascii="Arial" w:cs="Arial"/>
          <w:color w:val="000000"/>
          <w:szCs w:val="21"/>
          <w:lang w:eastAsia="zh-CN"/>
        </w:rPr>
        <w:t>，</w:t>
      </w:r>
      <w:r>
        <w:rPr>
          <w:rFonts w:hint="eastAsia" w:ascii="Arial" w:cs="Arial"/>
          <w:color w:val="000000"/>
          <w:szCs w:val="21"/>
        </w:rPr>
        <w:t>变频装置应自带UPS电源（如需要UPS时）</w:t>
      </w:r>
      <w:r>
        <w:rPr>
          <w:rFonts w:ascii="Arial" w:cs="Arial"/>
          <w:color w:val="000000"/>
          <w:szCs w:val="21"/>
        </w:rPr>
        <w:t>。</w:t>
      </w:r>
    </w:p>
    <w:p w14:paraId="392E7AF6">
      <w:pPr>
        <w:spacing w:line="360" w:lineRule="auto"/>
        <w:rPr>
          <w:rFonts w:hint="eastAsia" w:ascii="Arial" w:cs="Arial"/>
          <w:color w:val="000000"/>
          <w:szCs w:val="21"/>
        </w:rPr>
      </w:pPr>
      <w:r>
        <w:rPr>
          <w:rFonts w:hint="eastAsia" w:ascii="Arial" w:hAnsi="Arial" w:cs="Arial"/>
          <w:color w:val="000000"/>
          <w:szCs w:val="21"/>
        </w:rPr>
        <w:t>2.4</w:t>
      </w:r>
      <w:r>
        <w:rPr>
          <w:rFonts w:ascii="Arial" w:hAnsi="Arial" w:cs="Arial"/>
          <w:color w:val="000000"/>
          <w:szCs w:val="21"/>
        </w:rPr>
        <w:t>.</w:t>
      </w:r>
      <w:r>
        <w:rPr>
          <w:rFonts w:hint="eastAsia" w:ascii="Arial" w:hAnsi="Arial" w:cs="Arial"/>
          <w:color w:val="000000"/>
          <w:szCs w:val="21"/>
        </w:rPr>
        <w:t>5</w:t>
      </w:r>
      <w:r>
        <w:rPr>
          <w:rFonts w:hint="eastAsia" w:ascii="Arial" w:cs="Arial"/>
          <w:color w:val="000000"/>
          <w:szCs w:val="21"/>
        </w:rPr>
        <w:t>电缆出线方式：</w:t>
      </w:r>
      <w:r>
        <w:rPr>
          <w:rFonts w:hint="eastAsia" w:ascii="Arial" w:hAnsi="Arial" w:cs="Arial"/>
          <w:szCs w:val="21"/>
          <w:lang w:val="en-US" w:eastAsia="zh-CN"/>
        </w:rPr>
        <w:t>变频柜下部</w:t>
      </w:r>
      <w:r>
        <w:rPr>
          <w:rFonts w:ascii="Arial" w:hAnsi="Arial" w:cs="Arial"/>
          <w:szCs w:val="21"/>
        </w:rPr>
        <w:t>进</w:t>
      </w:r>
      <w:r>
        <w:rPr>
          <w:rFonts w:hint="eastAsia" w:ascii="Arial" w:hAnsi="Arial" w:cs="Arial"/>
          <w:szCs w:val="21"/>
        </w:rPr>
        <w:t>/出</w:t>
      </w:r>
      <w:r>
        <w:rPr>
          <w:rFonts w:ascii="Arial" w:hAnsi="Arial" w:cs="Arial"/>
          <w:szCs w:val="21"/>
        </w:rPr>
        <w:t>线</w:t>
      </w:r>
      <w:r>
        <w:rPr>
          <w:rFonts w:hint="eastAsia" w:ascii="Arial" w:hAnsi="Arial" w:cs="Arial"/>
          <w:szCs w:val="21"/>
        </w:rPr>
        <w:t>；</w:t>
      </w:r>
      <w:r>
        <w:rPr>
          <w:rFonts w:hint="eastAsia" w:ascii="Arial" w:cs="Arial"/>
          <w:color w:val="000000"/>
          <w:szCs w:val="21"/>
        </w:rPr>
        <w:t xml:space="preserve"> </w:t>
      </w:r>
    </w:p>
    <w:p w14:paraId="65D5AC17">
      <w:pPr>
        <w:keepNext w:val="0"/>
        <w:keepLines w:val="0"/>
        <w:widowControl/>
        <w:suppressLineNumbers w:val="0"/>
        <w:jc w:val="left"/>
        <w:rPr>
          <w:rFonts w:hint="eastAsia" w:ascii="Arial" w:hAnsi="Arial" w:cs="Arial"/>
          <w:color w:val="auto"/>
          <w:szCs w:val="21"/>
          <w:highlight w:val="none"/>
        </w:rPr>
      </w:pPr>
      <w:r>
        <w:rPr>
          <w:rFonts w:hint="eastAsia" w:ascii="Arial" w:hAnsi="Arial" w:cs="Arial"/>
          <w:color w:val="000000"/>
          <w:szCs w:val="21"/>
        </w:rPr>
        <w:t>2.4</w:t>
      </w:r>
      <w:r>
        <w:rPr>
          <w:rFonts w:ascii="Arial" w:hAnsi="Arial" w:cs="Arial"/>
          <w:color w:val="000000"/>
          <w:szCs w:val="21"/>
        </w:rPr>
        <w:t>.</w:t>
      </w:r>
      <w:r>
        <w:rPr>
          <w:rFonts w:hint="eastAsia" w:ascii="Arial" w:hAnsi="Arial" w:cs="Arial"/>
          <w:color w:val="000000"/>
          <w:szCs w:val="21"/>
        </w:rPr>
        <w:t>6</w:t>
      </w:r>
      <w:r>
        <w:rPr>
          <w:rFonts w:hint="eastAsia" w:ascii="Arial" w:cs="Arial"/>
          <w:color w:val="000000"/>
          <w:szCs w:val="21"/>
        </w:rPr>
        <w:t>变频装置</w:t>
      </w:r>
      <w:r>
        <w:rPr>
          <w:rFonts w:hint="eastAsia" w:ascii="Arial" w:cs="Arial"/>
          <w:color w:val="000000"/>
          <w:szCs w:val="21"/>
          <w:lang w:val="en-US" w:eastAsia="zh-CN"/>
        </w:rPr>
        <w:t>预制舱</w:t>
      </w:r>
      <w:r>
        <w:rPr>
          <w:rFonts w:ascii="Arial" w:cs="Arial"/>
          <w:szCs w:val="21"/>
        </w:rPr>
        <w:t>安装地点：</w:t>
      </w:r>
      <w:r>
        <w:rPr>
          <w:rFonts w:hint="eastAsia" w:ascii="Arial" w:hAnsi="Arial" w:cs="Arial"/>
          <w:szCs w:val="21"/>
          <w:lang w:val="en-US" w:eastAsia="zh-CN"/>
        </w:rPr>
        <w:t>循环水泵房旁边；</w:t>
      </w:r>
      <w:r>
        <w:rPr>
          <w:rFonts w:hint="eastAsia" w:ascii="Arial" w:hAnsi="Times New Roman" w:eastAsia="宋体" w:cs="Arial"/>
          <w:color w:val="auto"/>
          <w:szCs w:val="21"/>
          <w:highlight w:val="none"/>
          <w:lang w:val="en-US" w:eastAsia="zh-CN"/>
        </w:rPr>
        <w:t>高/低速切换柜安装在同一间预制舱内。</w:t>
      </w:r>
    </w:p>
    <w:p w14:paraId="6C822406">
      <w:pPr>
        <w:spacing w:line="360" w:lineRule="auto"/>
        <w:rPr>
          <w:rFonts w:hint="eastAsia" w:ascii="Arial" w:hAnsi="Arial" w:cs="Arial"/>
          <w:color w:val="auto"/>
          <w:szCs w:val="21"/>
          <w:highlight w:val="none"/>
        </w:rPr>
      </w:pPr>
      <w:r>
        <w:rPr>
          <w:rFonts w:hint="eastAsia" w:ascii="Arial" w:hAnsi="Arial" w:cs="Arial"/>
          <w:color w:val="auto"/>
          <w:szCs w:val="21"/>
          <w:highlight w:val="none"/>
        </w:rPr>
        <w:t xml:space="preserve">2.4.7 </w:t>
      </w:r>
      <w:r>
        <w:rPr>
          <w:rFonts w:hint="eastAsia" w:ascii="Arial" w:hAnsi="Arial" w:cs="Arial"/>
          <w:color w:val="auto"/>
          <w:szCs w:val="21"/>
          <w:highlight w:val="none"/>
          <w:lang w:eastAsia="zh-CN"/>
        </w:rPr>
        <w:t>#2机组</w:t>
      </w:r>
      <w:r>
        <w:rPr>
          <w:rFonts w:hint="eastAsia" w:ascii="Arial" w:hAnsi="Arial" w:cs="Arial"/>
          <w:color w:val="auto"/>
          <w:szCs w:val="21"/>
          <w:highlight w:val="none"/>
          <w:lang w:val="en-US" w:eastAsia="zh-CN"/>
        </w:rPr>
        <w:t>循环水泵</w:t>
      </w:r>
      <w:r>
        <w:rPr>
          <w:rFonts w:hint="eastAsia" w:ascii="Arial" w:hAnsi="Arial" w:cs="Arial"/>
          <w:color w:val="auto"/>
          <w:szCs w:val="21"/>
          <w:highlight w:val="none"/>
        </w:rPr>
        <w:t>变频器</w:t>
      </w:r>
      <w:r>
        <w:rPr>
          <w:rFonts w:hint="eastAsia" w:ascii="Arial" w:hAnsi="Arial" w:cs="Arial"/>
          <w:color w:val="auto"/>
          <w:szCs w:val="21"/>
          <w:highlight w:val="none"/>
          <w:lang w:eastAsia="zh-CN"/>
        </w:rPr>
        <w:t>、</w:t>
      </w:r>
      <w:r>
        <w:rPr>
          <w:rFonts w:hint="eastAsia" w:ascii="Arial" w:hAnsi="Times New Roman" w:eastAsia="宋体" w:cs="Arial"/>
          <w:color w:val="auto"/>
          <w:szCs w:val="21"/>
          <w:highlight w:val="none"/>
          <w:lang w:val="en-US" w:eastAsia="zh-CN"/>
        </w:rPr>
        <w:t>高/低速切换柜</w:t>
      </w:r>
      <w:r>
        <w:rPr>
          <w:rFonts w:hint="eastAsia" w:ascii="Arial" w:hAnsi="Arial" w:cs="Arial"/>
          <w:color w:val="auto"/>
          <w:szCs w:val="21"/>
          <w:highlight w:val="none"/>
        </w:rPr>
        <w:t>安装在</w:t>
      </w:r>
      <w:r>
        <w:rPr>
          <w:rFonts w:hint="eastAsia" w:ascii="Arial" w:hAnsi="Arial" w:cs="Arial"/>
          <w:color w:val="auto"/>
          <w:szCs w:val="21"/>
          <w:highlight w:val="none"/>
          <w:lang w:val="en-US" w:eastAsia="zh-CN"/>
        </w:rPr>
        <w:t>集装箱式预制舱</w:t>
      </w:r>
      <w:r>
        <w:rPr>
          <w:rFonts w:hint="eastAsia" w:ascii="Arial" w:hAnsi="Arial" w:cs="Arial"/>
          <w:color w:val="auto"/>
          <w:szCs w:val="21"/>
          <w:highlight w:val="none"/>
        </w:rPr>
        <w:t>内，</w:t>
      </w:r>
      <w:r>
        <w:rPr>
          <w:rFonts w:hint="eastAsia" w:ascii="Arial" w:hAnsi="Arial" w:cs="Arial"/>
          <w:color w:val="auto"/>
          <w:szCs w:val="21"/>
          <w:highlight w:val="none"/>
          <w:lang w:val="en-US" w:eastAsia="zh-CN"/>
        </w:rPr>
        <w:t>尺寸</w:t>
      </w:r>
      <w:r>
        <w:rPr>
          <w:rFonts w:hint="eastAsia" w:ascii="Arial" w:hAnsi="Arial" w:cs="Arial"/>
          <w:color w:val="auto"/>
          <w:szCs w:val="21"/>
          <w:highlight w:val="none"/>
        </w:rPr>
        <w:t>大小</w:t>
      </w:r>
      <w:r>
        <w:rPr>
          <w:rFonts w:hint="eastAsia" w:ascii="Arial" w:hAnsi="Arial" w:cs="Arial"/>
          <w:color w:val="auto"/>
          <w:szCs w:val="21"/>
          <w:highlight w:val="none"/>
          <w:lang w:val="en-US" w:eastAsia="zh-CN"/>
        </w:rPr>
        <w:t>约</w:t>
      </w:r>
      <w:r>
        <w:rPr>
          <w:rFonts w:hint="eastAsia" w:ascii="Arial" w:hAnsi="Arial" w:cs="Arial"/>
          <w:color w:val="auto"/>
          <w:szCs w:val="21"/>
          <w:highlight w:val="none"/>
        </w:rPr>
        <w:t>为长9.0米、宽7.2米。投标方所供产品</w:t>
      </w:r>
      <w:r>
        <w:rPr>
          <w:rFonts w:hint="eastAsia" w:ascii="Arial" w:hAnsi="Arial" w:cs="Arial"/>
          <w:color w:val="auto"/>
          <w:szCs w:val="21"/>
          <w:highlight w:val="none"/>
          <w:lang w:val="en-US" w:eastAsia="zh-CN"/>
        </w:rPr>
        <w:t>整体</w:t>
      </w:r>
      <w:r>
        <w:rPr>
          <w:rFonts w:hint="eastAsia" w:ascii="Arial" w:hAnsi="Arial" w:cs="Arial"/>
          <w:color w:val="auto"/>
          <w:szCs w:val="21"/>
          <w:highlight w:val="none"/>
        </w:rPr>
        <w:t>布置在</w:t>
      </w:r>
      <w:r>
        <w:rPr>
          <w:rFonts w:hint="eastAsia" w:ascii="Arial" w:hAnsi="Arial" w:cs="Arial"/>
          <w:color w:val="auto"/>
          <w:szCs w:val="21"/>
          <w:highlight w:val="none"/>
          <w:lang w:val="en-US" w:eastAsia="zh-CN"/>
        </w:rPr>
        <w:t>预制舱</w:t>
      </w:r>
      <w:r>
        <w:rPr>
          <w:rFonts w:hint="eastAsia" w:ascii="Arial" w:hAnsi="Arial" w:cs="Arial"/>
          <w:color w:val="auto"/>
          <w:szCs w:val="21"/>
          <w:highlight w:val="none"/>
        </w:rPr>
        <w:t>内，并且</w:t>
      </w:r>
      <w:r>
        <w:rPr>
          <w:rFonts w:hint="eastAsia" w:ascii="Arial" w:hAnsi="Arial" w:cs="Arial"/>
          <w:color w:val="auto"/>
          <w:szCs w:val="21"/>
          <w:highlight w:val="none"/>
          <w:lang w:val="en-US" w:eastAsia="zh-CN"/>
        </w:rPr>
        <w:t>变频器</w:t>
      </w:r>
      <w:r>
        <w:rPr>
          <w:rFonts w:hint="eastAsia" w:ascii="Arial" w:hAnsi="Arial" w:cs="Arial"/>
          <w:color w:val="auto"/>
          <w:szCs w:val="21"/>
          <w:highlight w:val="none"/>
        </w:rPr>
        <w:t>屏柜和</w:t>
      </w:r>
      <w:r>
        <w:rPr>
          <w:rFonts w:hint="eastAsia" w:ascii="Arial" w:hAnsi="Arial" w:cs="Arial"/>
          <w:color w:val="auto"/>
          <w:szCs w:val="21"/>
          <w:highlight w:val="none"/>
          <w:lang w:val="en-US" w:eastAsia="zh-CN"/>
        </w:rPr>
        <w:t>预制舱箱体</w:t>
      </w:r>
      <w:r>
        <w:rPr>
          <w:rFonts w:hint="eastAsia" w:ascii="Arial" w:hAnsi="Arial" w:cs="Arial"/>
          <w:color w:val="auto"/>
          <w:szCs w:val="21"/>
          <w:highlight w:val="none"/>
        </w:rPr>
        <w:t>之间的距离应满足相关规程要求</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配套设施齐全，包含空水冷却设备、备用空调、照明、消防等</w:t>
      </w:r>
      <w:r>
        <w:rPr>
          <w:rFonts w:hint="eastAsia" w:ascii="Arial" w:hAnsi="Arial" w:cs="Arial"/>
          <w:color w:val="auto"/>
          <w:szCs w:val="21"/>
          <w:highlight w:val="none"/>
        </w:rPr>
        <w:t>。</w:t>
      </w:r>
    </w:p>
    <w:p w14:paraId="40689FF8">
      <w:pPr>
        <w:rPr>
          <w:rFonts w:hint="eastAsia" w:ascii="宋体" w:hAnsi="宋体"/>
          <w:color w:val="auto"/>
          <w:spacing w:val="5"/>
          <w:szCs w:val="21"/>
          <w:highlight w:val="none"/>
        </w:rPr>
      </w:pPr>
      <w:r>
        <w:rPr>
          <w:rFonts w:hint="eastAsia" w:ascii="Arial" w:hAnsi="Arial" w:cs="Arial"/>
          <w:color w:val="auto"/>
          <w:szCs w:val="21"/>
          <w:highlight w:val="none"/>
          <w:lang w:val="en-US" w:eastAsia="zh-CN"/>
        </w:rPr>
        <w:t>2.4.8</w:t>
      </w:r>
      <w:r>
        <w:rPr>
          <w:rFonts w:hint="eastAsia" w:ascii="宋体" w:hAnsi="宋体"/>
          <w:color w:val="auto"/>
          <w:spacing w:val="5"/>
          <w:szCs w:val="21"/>
          <w:highlight w:val="none"/>
        </w:rPr>
        <w:t xml:space="preserve"> </w:t>
      </w:r>
      <w:r>
        <w:rPr>
          <w:rFonts w:hint="eastAsia" w:ascii="宋体" w:hAnsi="宋体"/>
          <w:color w:val="auto"/>
          <w:spacing w:val="5"/>
          <w:szCs w:val="21"/>
          <w:highlight w:val="none"/>
          <w:lang w:val="en-US" w:eastAsia="zh-CN"/>
        </w:rPr>
        <w:t>投标方</w:t>
      </w:r>
      <w:r>
        <w:rPr>
          <w:rFonts w:hint="eastAsia" w:ascii="宋体" w:hAnsi="宋体"/>
          <w:color w:val="auto"/>
          <w:spacing w:val="5"/>
          <w:szCs w:val="21"/>
          <w:highlight w:val="none"/>
        </w:rPr>
        <w:t>所供</w:t>
      </w:r>
      <w:r>
        <w:rPr>
          <w:rFonts w:hint="eastAsia" w:ascii="宋体" w:hAnsi="宋体"/>
          <w:color w:val="auto"/>
          <w:spacing w:val="5"/>
          <w:szCs w:val="21"/>
          <w:highlight w:val="none"/>
          <w:lang w:val="en-US" w:eastAsia="zh-CN"/>
        </w:rPr>
        <w:t>全部</w:t>
      </w:r>
      <w:r>
        <w:rPr>
          <w:rFonts w:hint="eastAsia" w:ascii="宋体" w:hAnsi="宋体"/>
          <w:color w:val="auto"/>
          <w:spacing w:val="5"/>
          <w:szCs w:val="21"/>
          <w:highlight w:val="none"/>
        </w:rPr>
        <w:t>设备</w:t>
      </w:r>
      <w:r>
        <w:rPr>
          <w:rFonts w:hint="eastAsia" w:ascii="宋体" w:hAnsi="宋体"/>
          <w:color w:val="auto"/>
          <w:spacing w:val="5"/>
          <w:szCs w:val="21"/>
          <w:highlight w:val="none"/>
          <w:lang w:val="en-US" w:eastAsia="zh-CN"/>
        </w:rPr>
        <w:t>及安装施工质量要求质保不低于2年，从设备投运验收开始计时</w:t>
      </w:r>
      <w:r>
        <w:rPr>
          <w:rFonts w:hint="eastAsia" w:ascii="宋体" w:hAnsi="宋体"/>
          <w:color w:val="auto"/>
          <w:spacing w:val="5"/>
          <w:szCs w:val="21"/>
          <w:highlight w:val="none"/>
        </w:rPr>
        <w:t>。</w:t>
      </w:r>
    </w:p>
    <w:p w14:paraId="544FF440">
      <w:pPr>
        <w:spacing w:line="360" w:lineRule="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预制舱本体单独质保</w:t>
      </w:r>
      <w:r>
        <w:rPr>
          <w:rFonts w:hint="eastAsia" w:ascii="宋体" w:hAnsi="宋体"/>
          <w:color w:val="auto"/>
          <w:spacing w:val="5"/>
          <w:szCs w:val="21"/>
          <w:highlight w:val="none"/>
          <w:lang w:val="en-US" w:eastAsia="zh-CN"/>
        </w:rPr>
        <w:t>不低于</w:t>
      </w:r>
      <w:r>
        <w:rPr>
          <w:rFonts w:hint="eastAsia" w:ascii="Arial" w:hAnsi="Arial" w:eastAsia="宋体" w:cs="Arial"/>
          <w:color w:val="auto"/>
          <w:szCs w:val="21"/>
          <w:highlight w:val="none"/>
          <w:lang w:val="en-US" w:eastAsia="zh-CN"/>
        </w:rPr>
        <w:t>10年。</w:t>
      </w:r>
    </w:p>
    <w:p w14:paraId="37654469">
      <w:pPr>
        <w:numPr>
          <w:ilvl w:val="1"/>
          <w:numId w:val="8"/>
        </w:numPr>
        <w:spacing w:line="360" w:lineRule="exact"/>
        <w:rPr>
          <w:rFonts w:ascii="Arial" w:hAnsi="Arial" w:cs="Arial"/>
          <w:bCs/>
          <w:color w:val="000000"/>
          <w:szCs w:val="21"/>
        </w:rPr>
      </w:pPr>
      <w:r>
        <w:rPr>
          <w:rFonts w:ascii="Arial" w:hAnsi="Arial" w:cs="Arial"/>
          <w:bCs/>
          <w:color w:val="000000"/>
          <w:szCs w:val="21"/>
        </w:rPr>
        <w:t xml:space="preserve"> </w:t>
      </w:r>
      <w:r>
        <w:rPr>
          <w:rFonts w:ascii="Arial" w:hAnsi="宋体" w:cs="Arial"/>
          <w:bCs/>
          <w:color w:val="000000"/>
          <w:szCs w:val="21"/>
        </w:rPr>
        <w:t>基本要求</w:t>
      </w:r>
    </w:p>
    <w:p w14:paraId="26553768">
      <w:pPr>
        <w:adjustRightInd w:val="0"/>
        <w:snapToGrid w:val="0"/>
        <w:ind w:left="-30" w:firstLine="420" w:firstLineChars="200"/>
        <w:outlineLvl w:val="8"/>
        <w:rPr>
          <w:rFonts w:ascii="Arial" w:hAnsi="Arial" w:eastAsia="黑体" w:cs="Arial"/>
          <w:b/>
          <w:bCs/>
          <w:szCs w:val="21"/>
        </w:rPr>
      </w:pPr>
    </w:p>
    <w:p w14:paraId="2C05A9A1">
      <w:pPr>
        <w:pStyle w:val="20"/>
        <w:numPr>
          <w:ilvl w:val="0"/>
          <w:numId w:val="0"/>
        </w:numPr>
        <w:ind w:left="794" w:hanging="794"/>
        <w:rPr>
          <w:sz w:val="21"/>
          <w:szCs w:val="21"/>
        </w:rPr>
      </w:pPr>
      <w:r>
        <w:rPr>
          <w:rFonts w:hint="eastAsia"/>
          <w:sz w:val="21"/>
          <w:szCs w:val="21"/>
        </w:rPr>
        <w:t xml:space="preserve">2.5.1   </w:t>
      </w:r>
      <w:r>
        <w:rPr>
          <w:sz w:val="21"/>
          <w:szCs w:val="21"/>
        </w:rPr>
        <w:t>变频</w:t>
      </w:r>
      <w:r>
        <w:rPr>
          <w:rFonts w:hint="eastAsia"/>
          <w:sz w:val="21"/>
          <w:szCs w:val="21"/>
        </w:rPr>
        <w:t>调速装置</w:t>
      </w:r>
      <w:r>
        <w:rPr>
          <w:sz w:val="21"/>
          <w:szCs w:val="21"/>
        </w:rPr>
        <w:t>为高</w:t>
      </w:r>
      <w:r>
        <w:rPr>
          <w:rFonts w:hint="eastAsia"/>
          <w:sz w:val="21"/>
          <w:szCs w:val="21"/>
        </w:rPr>
        <w:t>—</w:t>
      </w:r>
      <w:r>
        <w:rPr>
          <w:sz w:val="21"/>
          <w:szCs w:val="21"/>
        </w:rPr>
        <w:t>高结构，</w:t>
      </w:r>
      <w:r>
        <w:rPr>
          <w:rFonts w:hint="eastAsia"/>
          <w:sz w:val="21"/>
          <w:szCs w:val="21"/>
        </w:rPr>
        <w:t>系统输入为</w:t>
      </w:r>
      <w:r>
        <w:rPr>
          <w:sz w:val="21"/>
          <w:szCs w:val="21"/>
        </w:rPr>
        <w:t>10KV</w:t>
      </w:r>
      <w:r>
        <w:rPr>
          <w:rFonts w:hint="eastAsia"/>
          <w:sz w:val="21"/>
          <w:szCs w:val="21"/>
        </w:rPr>
        <w:t>、50</w:t>
      </w:r>
      <w:r>
        <w:rPr>
          <w:sz w:val="21"/>
          <w:szCs w:val="21"/>
        </w:rPr>
        <w:t>Hz</w:t>
      </w:r>
      <w:r>
        <w:rPr>
          <w:rFonts w:hint="eastAsia"/>
          <w:sz w:val="21"/>
          <w:szCs w:val="21"/>
        </w:rPr>
        <w:t>，</w:t>
      </w:r>
      <w:r>
        <w:rPr>
          <w:sz w:val="21"/>
          <w:szCs w:val="21"/>
        </w:rPr>
        <w:t>10KV直接</w:t>
      </w:r>
      <w:r>
        <w:rPr>
          <w:rFonts w:hint="eastAsia"/>
          <w:sz w:val="21"/>
          <w:szCs w:val="21"/>
        </w:rPr>
        <w:t>输出</w:t>
      </w:r>
      <w:r>
        <w:rPr>
          <w:sz w:val="21"/>
          <w:szCs w:val="21"/>
        </w:rPr>
        <w:t>，不需输出升压变压器</w:t>
      </w:r>
      <w:r>
        <w:rPr>
          <w:rFonts w:hint="eastAsia"/>
          <w:sz w:val="21"/>
          <w:szCs w:val="21"/>
        </w:rPr>
        <w:t>；输入侧的干式移相变压器要求铜线绕制，并应采用封闭柜体。</w:t>
      </w:r>
    </w:p>
    <w:p w14:paraId="2DA688CC">
      <w:pPr>
        <w:pStyle w:val="20"/>
        <w:numPr>
          <w:ilvl w:val="0"/>
          <w:numId w:val="0"/>
        </w:numPr>
        <w:ind w:left="794" w:hanging="794"/>
        <w:rPr>
          <w:color w:val="auto"/>
          <w:sz w:val="21"/>
          <w:szCs w:val="21"/>
          <w:highlight w:val="none"/>
        </w:rPr>
      </w:pPr>
      <w:r>
        <w:rPr>
          <w:rFonts w:hint="eastAsia"/>
          <w:sz w:val="21"/>
          <w:szCs w:val="21"/>
        </w:rPr>
        <w:t>2.5.2   变频调速</w:t>
      </w:r>
      <w:r>
        <w:rPr>
          <w:sz w:val="21"/>
          <w:szCs w:val="21"/>
        </w:rPr>
        <w:t>系统</w:t>
      </w:r>
      <w:r>
        <w:rPr>
          <w:rFonts w:hint="eastAsia"/>
          <w:sz w:val="21"/>
          <w:szCs w:val="21"/>
        </w:rPr>
        <w:t>采用</w:t>
      </w:r>
      <w:r>
        <w:rPr>
          <w:sz w:val="21"/>
          <w:szCs w:val="21"/>
        </w:rPr>
        <w:t>一体化设计，包括</w:t>
      </w:r>
      <w:r>
        <w:rPr>
          <w:rFonts w:hint="eastAsia"/>
          <w:sz w:val="21"/>
          <w:szCs w:val="21"/>
        </w:rPr>
        <w:t>控制柜、</w:t>
      </w:r>
      <w:r>
        <w:rPr>
          <w:sz w:val="21"/>
          <w:szCs w:val="21"/>
        </w:rPr>
        <w:t>变频器</w:t>
      </w:r>
      <w:r>
        <w:rPr>
          <w:rFonts w:hint="eastAsia"/>
          <w:sz w:val="21"/>
          <w:szCs w:val="21"/>
        </w:rPr>
        <w:t>柜、变压器柜、旁路柜</w:t>
      </w:r>
      <w:r>
        <w:rPr>
          <w:rFonts w:hint="eastAsia"/>
          <w:color w:val="auto"/>
          <w:sz w:val="21"/>
          <w:szCs w:val="21"/>
          <w:highlight w:val="none"/>
        </w:rPr>
        <w:t>（含</w:t>
      </w:r>
      <w:r>
        <w:rPr>
          <w:rFonts w:hint="eastAsia"/>
          <w:color w:val="auto"/>
          <w:sz w:val="21"/>
          <w:szCs w:val="21"/>
          <w:highlight w:val="none"/>
          <w:lang w:val="en-US" w:eastAsia="zh-CN"/>
        </w:rPr>
        <w:t>手车式</w:t>
      </w:r>
      <w:r>
        <w:rPr>
          <w:rFonts w:hint="eastAsia"/>
          <w:color w:val="auto"/>
          <w:sz w:val="21"/>
          <w:szCs w:val="21"/>
          <w:highlight w:val="none"/>
        </w:rPr>
        <w:t>高压真空</w:t>
      </w:r>
      <w:r>
        <w:rPr>
          <w:rFonts w:hint="eastAsia"/>
          <w:color w:val="auto"/>
          <w:sz w:val="21"/>
          <w:szCs w:val="21"/>
          <w:highlight w:val="none"/>
          <w:lang w:val="en-US" w:eastAsia="zh-CN"/>
        </w:rPr>
        <w:t>断路器</w:t>
      </w:r>
      <w:r>
        <w:rPr>
          <w:rFonts w:hint="eastAsia"/>
          <w:color w:val="auto"/>
          <w:sz w:val="21"/>
          <w:szCs w:val="21"/>
          <w:highlight w:val="none"/>
        </w:rPr>
        <w:t>）</w:t>
      </w:r>
      <w:r>
        <w:rPr>
          <w:color w:val="auto"/>
          <w:sz w:val="21"/>
          <w:szCs w:val="21"/>
          <w:highlight w:val="none"/>
        </w:rPr>
        <w:t>等所有部件及内部连线，用户只需连接高压输入、高压输出、低压控制电源和控制信号线即可</w:t>
      </w:r>
      <w:r>
        <w:rPr>
          <w:rFonts w:hint="eastAsia"/>
          <w:color w:val="auto"/>
          <w:sz w:val="21"/>
          <w:szCs w:val="21"/>
          <w:highlight w:val="none"/>
        </w:rPr>
        <w:t>；</w:t>
      </w:r>
      <w:r>
        <w:rPr>
          <w:color w:val="auto"/>
          <w:sz w:val="21"/>
          <w:szCs w:val="21"/>
          <w:highlight w:val="none"/>
        </w:rPr>
        <w:t>整套系统</w:t>
      </w:r>
      <w:r>
        <w:rPr>
          <w:rFonts w:hint="eastAsia"/>
          <w:color w:val="auto"/>
          <w:sz w:val="21"/>
          <w:szCs w:val="21"/>
          <w:highlight w:val="none"/>
        </w:rPr>
        <w:t>必须在</w:t>
      </w:r>
      <w:r>
        <w:rPr>
          <w:color w:val="auto"/>
          <w:sz w:val="21"/>
          <w:szCs w:val="21"/>
          <w:highlight w:val="none"/>
        </w:rPr>
        <w:t>出厂前进行整体</w:t>
      </w:r>
      <w:r>
        <w:rPr>
          <w:rFonts w:hint="eastAsia"/>
          <w:color w:val="auto"/>
          <w:sz w:val="21"/>
          <w:szCs w:val="21"/>
          <w:highlight w:val="none"/>
          <w:lang w:val="en-US" w:eastAsia="zh-CN"/>
        </w:rPr>
        <w:t>带载</w:t>
      </w:r>
      <w:r>
        <w:rPr>
          <w:color w:val="auto"/>
          <w:sz w:val="21"/>
          <w:szCs w:val="21"/>
          <w:highlight w:val="none"/>
        </w:rPr>
        <w:t>测试</w:t>
      </w:r>
      <w:r>
        <w:rPr>
          <w:rFonts w:hint="eastAsia"/>
          <w:color w:val="auto"/>
          <w:sz w:val="21"/>
          <w:szCs w:val="21"/>
          <w:highlight w:val="none"/>
        </w:rPr>
        <w:t>，以确保整套系统的可靠性。</w:t>
      </w:r>
    </w:p>
    <w:p w14:paraId="3E1B89A5">
      <w:pPr>
        <w:pStyle w:val="20"/>
        <w:numPr>
          <w:ilvl w:val="2"/>
          <w:numId w:val="9"/>
        </w:numPr>
        <w:rPr>
          <w:rFonts w:hint="eastAsia"/>
          <w:sz w:val="21"/>
          <w:szCs w:val="21"/>
        </w:rPr>
      </w:pPr>
      <w:r>
        <w:rPr>
          <w:rFonts w:hint="eastAsia"/>
          <w:sz w:val="21"/>
          <w:szCs w:val="21"/>
        </w:rPr>
        <w:t xml:space="preserve"> 变频调速装置应能在下列温湿度环境下正常工作：</w:t>
      </w:r>
    </w:p>
    <w:p w14:paraId="2731D018">
      <w:pPr>
        <w:pStyle w:val="20"/>
        <w:numPr>
          <w:ilvl w:val="8"/>
          <w:numId w:val="10"/>
        </w:numPr>
        <w:rPr>
          <w:rFonts w:hint="eastAsia"/>
          <w:sz w:val="21"/>
          <w:szCs w:val="21"/>
        </w:rPr>
      </w:pPr>
      <w:r>
        <w:rPr>
          <w:rFonts w:hint="eastAsia"/>
          <w:sz w:val="21"/>
          <w:szCs w:val="21"/>
        </w:rPr>
        <w:t>最大湿度不超过90%（20℃）；</w:t>
      </w:r>
    </w:p>
    <w:p w14:paraId="4B0C6FB2">
      <w:pPr>
        <w:pStyle w:val="20"/>
        <w:numPr>
          <w:ilvl w:val="8"/>
          <w:numId w:val="10"/>
        </w:numPr>
        <w:rPr>
          <w:rFonts w:hint="eastAsia"/>
          <w:color w:val="auto"/>
          <w:sz w:val="21"/>
          <w:szCs w:val="21"/>
        </w:rPr>
      </w:pPr>
      <w:r>
        <w:rPr>
          <w:rFonts w:hint="eastAsia"/>
          <w:color w:val="auto"/>
          <w:sz w:val="21"/>
          <w:szCs w:val="21"/>
        </w:rPr>
        <w:t>相对湿度变化率每小时不超过5%，且不结露；</w:t>
      </w:r>
    </w:p>
    <w:p w14:paraId="0F5EFDD9">
      <w:pPr>
        <w:pStyle w:val="20"/>
        <w:numPr>
          <w:ilvl w:val="8"/>
          <w:numId w:val="10"/>
        </w:numPr>
        <w:rPr>
          <w:rFonts w:hint="eastAsia" w:ascii="Arial" w:hAnsi="宋体" w:eastAsia="宋体" w:cs="Arial"/>
          <w:color w:val="FF0000"/>
          <w:sz w:val="21"/>
          <w:szCs w:val="21"/>
        </w:rPr>
      </w:pPr>
      <w:r>
        <w:rPr>
          <w:rFonts w:hint="eastAsia"/>
          <w:sz w:val="21"/>
          <w:szCs w:val="21"/>
        </w:rPr>
        <w:t>运行环境温度 -10℃</w:t>
      </w:r>
      <w:r>
        <w:rPr>
          <w:sz w:val="21"/>
          <w:szCs w:val="21"/>
        </w:rPr>
        <w:t>～4</w:t>
      </w:r>
      <w:r>
        <w:rPr>
          <w:rFonts w:hint="eastAsia"/>
          <w:sz w:val="21"/>
          <w:szCs w:val="21"/>
        </w:rPr>
        <w:t>0℃，海拔1000米以下</w:t>
      </w:r>
      <w:r>
        <w:rPr>
          <w:rFonts w:hint="eastAsia"/>
          <w:sz w:val="21"/>
          <w:szCs w:val="21"/>
          <w:lang w:eastAsia="zh-CN"/>
        </w:rPr>
        <w:t>，</w:t>
      </w:r>
      <w:r>
        <w:rPr>
          <w:rFonts w:hint="eastAsia" w:ascii="Arial" w:hAnsi="宋体" w:eastAsia="宋体" w:cs="Arial"/>
          <w:color w:val="auto"/>
          <w:sz w:val="21"/>
          <w:szCs w:val="21"/>
          <w:highlight w:val="none"/>
        </w:rPr>
        <w:t>温度变化率≤5℃/h</w:t>
      </w:r>
      <w:r>
        <w:rPr>
          <w:rFonts w:hint="eastAsia" w:ascii="Arial" w:hAnsi="宋体" w:eastAsia="宋体" w:cs="Arial"/>
          <w:color w:val="auto"/>
          <w:sz w:val="21"/>
          <w:szCs w:val="21"/>
          <w:highlight w:val="none"/>
          <w:lang w:eastAsia="zh-CN"/>
        </w:rPr>
        <w:t>。</w:t>
      </w:r>
    </w:p>
    <w:p w14:paraId="02BD5851">
      <w:pPr>
        <w:pStyle w:val="20"/>
        <w:numPr>
          <w:ilvl w:val="2"/>
          <w:numId w:val="9"/>
        </w:numPr>
        <w:rPr>
          <w:rFonts w:hint="eastAsia"/>
          <w:sz w:val="21"/>
          <w:szCs w:val="21"/>
        </w:rPr>
      </w:pPr>
      <w:r>
        <w:rPr>
          <w:rFonts w:hint="eastAsia"/>
          <w:sz w:val="21"/>
          <w:szCs w:val="21"/>
        </w:rPr>
        <w:t xml:space="preserve"> 在距离变频调速装置1米的范围内任何一个方向进行测试，所测得的变频装置噪声不得</w:t>
      </w:r>
      <w:r>
        <w:rPr>
          <w:rFonts w:hint="eastAsia"/>
          <w:sz w:val="21"/>
          <w:szCs w:val="21"/>
          <w:lang w:val="en-US" w:eastAsia="zh-CN"/>
        </w:rPr>
        <w:t xml:space="preserve">     </w:t>
      </w:r>
    </w:p>
    <w:p w14:paraId="3C86F89D">
      <w:pPr>
        <w:pStyle w:val="20"/>
        <w:numPr>
          <w:ilvl w:val="0"/>
          <w:numId w:val="0"/>
        </w:numPr>
        <w:ind w:leftChars="0" w:firstLine="840" w:firstLineChars="400"/>
        <w:rPr>
          <w:rFonts w:hint="eastAsia"/>
          <w:sz w:val="21"/>
          <w:szCs w:val="21"/>
        </w:rPr>
      </w:pPr>
      <w:r>
        <w:rPr>
          <w:rFonts w:hint="eastAsia"/>
          <w:sz w:val="21"/>
          <w:szCs w:val="21"/>
        </w:rPr>
        <w:t>超过75贝。</w:t>
      </w:r>
    </w:p>
    <w:p w14:paraId="31198A75">
      <w:pPr>
        <w:pStyle w:val="20"/>
        <w:numPr>
          <w:ilvl w:val="2"/>
          <w:numId w:val="9"/>
        </w:numPr>
        <w:rPr>
          <w:rFonts w:hint="eastAsia"/>
          <w:color w:val="auto"/>
          <w:sz w:val="21"/>
          <w:szCs w:val="21"/>
        </w:rPr>
      </w:pPr>
      <w:r>
        <w:rPr>
          <w:rFonts w:hint="eastAsia"/>
          <w:color w:val="auto"/>
          <w:sz w:val="21"/>
          <w:szCs w:val="21"/>
        </w:rPr>
        <w:t>投标方应提供技术成熟的最新型号的变频调速装置，并在投标书中详细说明其结构（包括元器件型号、隔离变结构及绝缘等）以及主要元器件供应商、产地。变频装置如果采用功率单元串联技术，为保证产品的最佳稳定性，每相应采用成熟的</w:t>
      </w:r>
      <w:r>
        <w:rPr>
          <w:rFonts w:hint="eastAsia"/>
          <w:color w:val="auto"/>
          <w:sz w:val="21"/>
          <w:szCs w:val="21"/>
          <w:lang w:val="en-US" w:eastAsia="zh-CN"/>
        </w:rPr>
        <w:t>7或8</w:t>
      </w:r>
      <w:r>
        <w:rPr>
          <w:rFonts w:hint="eastAsia"/>
          <w:color w:val="auto"/>
          <w:sz w:val="21"/>
          <w:szCs w:val="21"/>
        </w:rPr>
        <w:t>级模块串联,整机</w:t>
      </w:r>
      <w:r>
        <w:rPr>
          <w:rFonts w:hint="eastAsia"/>
          <w:color w:val="auto"/>
          <w:sz w:val="21"/>
          <w:szCs w:val="21"/>
          <w:lang w:val="en-US" w:eastAsia="zh-CN"/>
        </w:rPr>
        <w:t>21或</w:t>
      </w:r>
      <w:r>
        <w:rPr>
          <w:rFonts w:hint="eastAsia"/>
          <w:color w:val="auto"/>
          <w:sz w:val="21"/>
          <w:szCs w:val="21"/>
        </w:rPr>
        <w:t>24个功率单元模块。</w:t>
      </w:r>
    </w:p>
    <w:p w14:paraId="7C767970">
      <w:pPr>
        <w:pStyle w:val="20"/>
        <w:numPr>
          <w:ilvl w:val="2"/>
          <w:numId w:val="9"/>
        </w:numPr>
        <w:rPr>
          <w:rFonts w:hint="eastAsia"/>
          <w:color w:val="auto"/>
          <w:sz w:val="21"/>
          <w:szCs w:val="21"/>
        </w:rPr>
      </w:pPr>
      <w:r>
        <w:rPr>
          <w:rFonts w:hint="eastAsia"/>
          <w:color w:val="auto"/>
          <w:sz w:val="21"/>
          <w:szCs w:val="21"/>
        </w:rPr>
        <w:t>变频调速装置输出必须符合</w:t>
      </w:r>
      <w:r>
        <w:rPr>
          <w:color w:val="auto"/>
          <w:sz w:val="21"/>
          <w:szCs w:val="21"/>
        </w:rPr>
        <w:t>IEEE 519</w:t>
      </w:r>
      <w:r>
        <w:rPr>
          <w:rFonts w:hint="eastAsia"/>
          <w:color w:val="auto"/>
          <w:sz w:val="21"/>
          <w:szCs w:val="21"/>
        </w:rPr>
        <w:t>—</w:t>
      </w:r>
      <w:r>
        <w:rPr>
          <w:color w:val="auto"/>
          <w:sz w:val="21"/>
          <w:szCs w:val="21"/>
        </w:rPr>
        <w:t>1992</w:t>
      </w:r>
      <w:r>
        <w:rPr>
          <w:rFonts w:hint="eastAsia"/>
          <w:color w:val="auto"/>
          <w:sz w:val="21"/>
          <w:szCs w:val="21"/>
        </w:rPr>
        <w:t>及中国供电部门对电压失真最严格的要求，高于国标</w:t>
      </w:r>
      <w:r>
        <w:rPr>
          <w:color w:val="auto"/>
          <w:sz w:val="21"/>
          <w:szCs w:val="21"/>
        </w:rPr>
        <w:t>GB</w:t>
      </w:r>
      <w:r>
        <w:rPr>
          <w:rFonts w:hint="eastAsia"/>
          <w:color w:val="auto"/>
          <w:sz w:val="21"/>
          <w:szCs w:val="21"/>
        </w:rPr>
        <w:t xml:space="preserve">/T </w:t>
      </w:r>
      <w:r>
        <w:rPr>
          <w:color w:val="auto"/>
          <w:sz w:val="21"/>
          <w:szCs w:val="21"/>
        </w:rPr>
        <w:t>14549</w:t>
      </w:r>
      <w:r>
        <w:rPr>
          <w:rFonts w:hint="eastAsia"/>
          <w:color w:val="auto"/>
          <w:sz w:val="21"/>
          <w:szCs w:val="21"/>
        </w:rPr>
        <w:t>—</w:t>
      </w:r>
      <w:r>
        <w:rPr>
          <w:rFonts w:hint="eastAsia"/>
          <w:color w:val="auto"/>
          <w:sz w:val="21"/>
          <w:szCs w:val="21"/>
          <w:lang w:val="en-US" w:eastAsia="zh-CN"/>
        </w:rPr>
        <w:t>2020</w:t>
      </w:r>
      <w:r>
        <w:rPr>
          <w:rFonts w:hint="eastAsia"/>
          <w:color w:val="auto"/>
          <w:sz w:val="21"/>
          <w:szCs w:val="21"/>
        </w:rPr>
        <w:t>对谐波失真的要求。</w:t>
      </w:r>
    </w:p>
    <w:p w14:paraId="43501C63">
      <w:pPr>
        <w:pStyle w:val="20"/>
        <w:numPr>
          <w:ilvl w:val="2"/>
          <w:numId w:val="9"/>
        </w:numPr>
        <w:rPr>
          <w:rFonts w:hint="eastAsia"/>
          <w:color w:val="auto"/>
          <w:sz w:val="21"/>
          <w:szCs w:val="21"/>
          <w:highlight w:val="none"/>
        </w:rPr>
      </w:pPr>
      <w:r>
        <w:rPr>
          <w:rFonts w:hint="eastAsia"/>
          <w:color w:val="auto"/>
          <w:sz w:val="21"/>
          <w:szCs w:val="21"/>
        </w:rPr>
        <w:t>变频调速装置</w:t>
      </w:r>
      <w:r>
        <w:rPr>
          <w:rFonts w:hint="eastAsia"/>
          <w:color w:val="auto"/>
          <w:sz w:val="21"/>
          <w:szCs w:val="21"/>
          <w:lang w:val="en-US" w:eastAsia="zh-CN"/>
        </w:rPr>
        <w:t>输出</w:t>
      </w:r>
      <w:r>
        <w:rPr>
          <w:rFonts w:hint="eastAsia"/>
          <w:color w:val="auto"/>
          <w:sz w:val="21"/>
          <w:szCs w:val="21"/>
        </w:rPr>
        <w:t>对电网反馈的谐波要求必须符合</w:t>
      </w:r>
      <w:r>
        <w:rPr>
          <w:color w:val="auto"/>
          <w:sz w:val="21"/>
          <w:szCs w:val="21"/>
        </w:rPr>
        <w:t>IEEE 519</w:t>
      </w:r>
      <w:r>
        <w:rPr>
          <w:rFonts w:hint="eastAsia"/>
          <w:color w:val="auto"/>
          <w:sz w:val="21"/>
          <w:szCs w:val="21"/>
        </w:rPr>
        <w:t>—</w:t>
      </w:r>
      <w:r>
        <w:rPr>
          <w:color w:val="auto"/>
          <w:sz w:val="21"/>
          <w:szCs w:val="21"/>
        </w:rPr>
        <w:t>1992</w:t>
      </w:r>
      <w:r>
        <w:rPr>
          <w:rFonts w:hint="eastAsia"/>
          <w:color w:val="auto"/>
          <w:sz w:val="21"/>
          <w:szCs w:val="21"/>
        </w:rPr>
        <w:t>及中国供电部门对电压失真最严格的要求，高于国标</w:t>
      </w:r>
      <w:r>
        <w:rPr>
          <w:color w:val="auto"/>
          <w:sz w:val="21"/>
          <w:szCs w:val="21"/>
        </w:rPr>
        <w:t>GB</w:t>
      </w:r>
      <w:r>
        <w:rPr>
          <w:rFonts w:hint="eastAsia"/>
          <w:color w:val="auto"/>
          <w:sz w:val="21"/>
          <w:szCs w:val="21"/>
        </w:rPr>
        <w:t xml:space="preserve">/T </w:t>
      </w:r>
      <w:r>
        <w:rPr>
          <w:color w:val="auto"/>
          <w:sz w:val="21"/>
          <w:szCs w:val="21"/>
        </w:rPr>
        <w:t>14549</w:t>
      </w:r>
      <w:r>
        <w:rPr>
          <w:rFonts w:hint="eastAsia"/>
          <w:color w:val="auto"/>
          <w:sz w:val="21"/>
          <w:szCs w:val="21"/>
        </w:rPr>
        <w:t>—</w:t>
      </w:r>
      <w:r>
        <w:rPr>
          <w:rFonts w:hint="eastAsia"/>
          <w:color w:val="auto"/>
          <w:sz w:val="21"/>
          <w:szCs w:val="21"/>
          <w:lang w:val="en-US" w:eastAsia="zh-CN"/>
        </w:rPr>
        <w:t>2020</w:t>
      </w:r>
      <w:r>
        <w:rPr>
          <w:rFonts w:hint="eastAsia"/>
          <w:color w:val="auto"/>
          <w:sz w:val="21"/>
          <w:szCs w:val="21"/>
        </w:rPr>
        <w:t>对谐波失真的要求。并且投标厂家需提供国家权威部门出具的检验报告。若使用多脉冲整流器，整流桥脉冲数至少</w:t>
      </w:r>
      <w:r>
        <w:rPr>
          <w:rFonts w:hint="eastAsia"/>
          <w:color w:val="auto"/>
          <w:sz w:val="21"/>
          <w:szCs w:val="21"/>
          <w:highlight w:val="none"/>
        </w:rPr>
        <w:t>为4</w:t>
      </w:r>
      <w:r>
        <w:rPr>
          <w:rFonts w:hint="eastAsia"/>
          <w:color w:val="auto"/>
          <w:sz w:val="21"/>
          <w:szCs w:val="21"/>
          <w:highlight w:val="none"/>
          <w:lang w:val="en-US" w:eastAsia="zh-CN"/>
        </w:rPr>
        <w:t>2</w:t>
      </w:r>
      <w:r>
        <w:rPr>
          <w:rFonts w:hint="eastAsia"/>
          <w:color w:val="auto"/>
          <w:sz w:val="21"/>
          <w:szCs w:val="21"/>
          <w:highlight w:val="none"/>
        </w:rPr>
        <w:t>脉冲及以上，整套变频系统反馈到电网的谐波含量THDi必须小于2%。</w:t>
      </w:r>
    </w:p>
    <w:p w14:paraId="76C8974D">
      <w:pPr>
        <w:pStyle w:val="20"/>
        <w:numPr>
          <w:ilvl w:val="2"/>
          <w:numId w:val="9"/>
        </w:numPr>
        <w:rPr>
          <w:rFonts w:hAnsi="Arial"/>
          <w:color w:val="auto"/>
          <w:sz w:val="21"/>
          <w:szCs w:val="21"/>
          <w:highlight w:val="none"/>
        </w:rPr>
      </w:pPr>
      <w:r>
        <w:rPr>
          <w:color w:val="auto"/>
          <w:sz w:val="21"/>
          <w:szCs w:val="21"/>
          <w:highlight w:val="none"/>
        </w:rPr>
        <w:t>变频器无需滤波器就可输出正弦电流和电压波形，对电机没有特殊的要求，</w:t>
      </w:r>
      <w:r>
        <w:rPr>
          <w:rFonts w:hint="eastAsia"/>
          <w:color w:val="auto"/>
          <w:sz w:val="21"/>
          <w:szCs w:val="21"/>
          <w:highlight w:val="none"/>
        </w:rPr>
        <w:t>且</w:t>
      </w:r>
      <w:r>
        <w:rPr>
          <w:color w:val="auto"/>
          <w:sz w:val="21"/>
          <w:szCs w:val="21"/>
          <w:highlight w:val="none"/>
        </w:rPr>
        <w:t>电机不必降额使用</w:t>
      </w:r>
      <w:r>
        <w:rPr>
          <w:rFonts w:hint="eastAsia"/>
          <w:color w:val="auto"/>
          <w:sz w:val="21"/>
          <w:szCs w:val="21"/>
          <w:highlight w:val="none"/>
        </w:rPr>
        <w:t>；变频器同时应</w:t>
      </w:r>
      <w:r>
        <w:rPr>
          <w:color w:val="auto"/>
          <w:sz w:val="21"/>
          <w:szCs w:val="21"/>
          <w:highlight w:val="none"/>
        </w:rPr>
        <w:t>具有软起动功能，没有电机启动冲击引起的电网电压下跌，可确保电机安全、长期运行</w:t>
      </w:r>
      <w:r>
        <w:rPr>
          <w:rFonts w:hint="eastAsia"/>
          <w:color w:val="auto"/>
          <w:sz w:val="21"/>
          <w:szCs w:val="21"/>
          <w:highlight w:val="none"/>
        </w:rPr>
        <w:t>。</w:t>
      </w:r>
    </w:p>
    <w:p w14:paraId="42A7FBF6">
      <w:pPr>
        <w:pStyle w:val="20"/>
        <w:numPr>
          <w:ilvl w:val="2"/>
          <w:numId w:val="9"/>
        </w:numPr>
        <w:rPr>
          <w:rFonts w:hAnsi="Arial"/>
          <w:color w:val="auto"/>
          <w:sz w:val="21"/>
          <w:szCs w:val="21"/>
          <w:highlight w:val="none"/>
        </w:rPr>
      </w:pPr>
      <w:r>
        <w:rPr>
          <w:color w:val="auto"/>
          <w:sz w:val="21"/>
          <w:szCs w:val="21"/>
          <w:highlight w:val="none"/>
        </w:rPr>
        <w:t>变频</w:t>
      </w:r>
      <w:r>
        <w:rPr>
          <w:rFonts w:hint="eastAsia"/>
          <w:color w:val="auto"/>
          <w:sz w:val="21"/>
          <w:szCs w:val="21"/>
          <w:highlight w:val="none"/>
        </w:rPr>
        <w:t>调速装置</w:t>
      </w:r>
      <w:r>
        <w:rPr>
          <w:color w:val="auto"/>
          <w:sz w:val="21"/>
          <w:szCs w:val="21"/>
          <w:highlight w:val="none"/>
        </w:rPr>
        <w:t>输出波形不会引起电机的谐振，转矩脉动小于</w:t>
      </w:r>
      <w:r>
        <w:rPr>
          <w:rFonts w:hAnsi="Arial"/>
          <w:color w:val="auto"/>
          <w:sz w:val="21"/>
          <w:szCs w:val="21"/>
          <w:highlight w:val="none"/>
        </w:rPr>
        <w:t>0.1%</w:t>
      </w:r>
      <w:r>
        <w:rPr>
          <w:rFonts w:hint="eastAsia"/>
          <w:color w:val="auto"/>
          <w:sz w:val="21"/>
          <w:szCs w:val="21"/>
          <w:highlight w:val="none"/>
        </w:rPr>
        <w:t>；</w:t>
      </w:r>
      <w:r>
        <w:rPr>
          <w:color w:val="auto"/>
          <w:sz w:val="21"/>
          <w:szCs w:val="21"/>
          <w:highlight w:val="none"/>
        </w:rPr>
        <w:t>变频器有共振点频率跳跃功能</w:t>
      </w:r>
      <w:r>
        <w:rPr>
          <w:rFonts w:hint="eastAsia"/>
          <w:color w:val="auto"/>
          <w:sz w:val="21"/>
          <w:szCs w:val="21"/>
          <w:highlight w:val="none"/>
        </w:rPr>
        <w:t>，</w:t>
      </w:r>
      <w:r>
        <w:rPr>
          <w:color w:val="auto"/>
          <w:sz w:val="21"/>
          <w:szCs w:val="21"/>
          <w:highlight w:val="none"/>
        </w:rPr>
        <w:t>可避免风机喘振现象。</w:t>
      </w:r>
    </w:p>
    <w:p w14:paraId="196154C0">
      <w:pPr>
        <w:pStyle w:val="20"/>
        <w:numPr>
          <w:ilvl w:val="2"/>
          <w:numId w:val="9"/>
        </w:numPr>
        <w:rPr>
          <w:rFonts w:hint="eastAsia"/>
          <w:color w:val="auto"/>
          <w:sz w:val="21"/>
          <w:szCs w:val="21"/>
          <w:highlight w:val="none"/>
        </w:rPr>
      </w:pPr>
      <w:r>
        <w:rPr>
          <w:rFonts w:hint="eastAsia"/>
          <w:color w:val="auto"/>
          <w:sz w:val="21"/>
          <w:szCs w:val="21"/>
          <w:highlight w:val="none"/>
        </w:rPr>
        <w:t>变频调速系统能在电子噪声、射频干扰及振动的环境中连续运行，且不降低系统的性能；距变频柜1.2</w:t>
      </w:r>
      <w:r>
        <w:rPr>
          <w:color w:val="auto"/>
          <w:sz w:val="21"/>
          <w:szCs w:val="21"/>
          <w:highlight w:val="none"/>
        </w:rPr>
        <w:t>m</w:t>
      </w:r>
      <w:r>
        <w:rPr>
          <w:rFonts w:hint="eastAsia"/>
          <w:color w:val="auto"/>
          <w:sz w:val="21"/>
          <w:szCs w:val="21"/>
          <w:highlight w:val="none"/>
        </w:rPr>
        <w:t>处以外发出的工作频率470H</w:t>
      </w:r>
      <w:r>
        <w:rPr>
          <w:color w:val="auto"/>
          <w:sz w:val="21"/>
          <w:szCs w:val="21"/>
          <w:highlight w:val="none"/>
        </w:rPr>
        <w:t xml:space="preserve">z </w:t>
      </w:r>
      <w:r>
        <w:rPr>
          <w:rFonts w:hint="eastAsia"/>
          <w:color w:val="auto"/>
          <w:sz w:val="21"/>
          <w:szCs w:val="21"/>
          <w:highlight w:val="none"/>
        </w:rPr>
        <w:t>、功率输出达5W的电磁干扰和射频干扰，应不影响系统正常工作。</w:t>
      </w:r>
    </w:p>
    <w:p w14:paraId="1453F978">
      <w:pPr>
        <w:pStyle w:val="20"/>
        <w:numPr>
          <w:ilvl w:val="2"/>
          <w:numId w:val="9"/>
        </w:numPr>
        <w:rPr>
          <w:rFonts w:hint="eastAsia"/>
          <w:color w:val="auto"/>
          <w:sz w:val="21"/>
          <w:szCs w:val="21"/>
          <w:highlight w:val="none"/>
        </w:rPr>
      </w:pPr>
      <w:r>
        <w:rPr>
          <w:rFonts w:hint="eastAsia"/>
          <w:color w:val="auto"/>
          <w:sz w:val="21"/>
          <w:szCs w:val="21"/>
          <w:highlight w:val="none"/>
        </w:rPr>
        <w:t>变频调速装置对输出电缆的长度不应有任何要求，变频调速装置必须保护电机不受共模电压及dV/dt应力的影响。</w:t>
      </w:r>
    </w:p>
    <w:p w14:paraId="7A105071">
      <w:pPr>
        <w:pStyle w:val="20"/>
        <w:numPr>
          <w:ilvl w:val="0"/>
          <w:numId w:val="0"/>
        </w:numPr>
        <w:ind w:left="794" w:hanging="794"/>
        <w:rPr>
          <w:rFonts w:hAnsi="Arial"/>
          <w:color w:val="auto"/>
          <w:sz w:val="21"/>
          <w:szCs w:val="21"/>
          <w:highlight w:val="none"/>
        </w:rPr>
      </w:pPr>
      <w:r>
        <w:rPr>
          <w:rFonts w:hint="eastAsia"/>
          <w:color w:val="auto"/>
          <w:sz w:val="21"/>
          <w:szCs w:val="21"/>
          <w:highlight w:val="none"/>
        </w:rPr>
        <w:t>2.5.12</w:t>
      </w:r>
      <w:r>
        <w:rPr>
          <w:color w:val="auto"/>
          <w:sz w:val="21"/>
          <w:szCs w:val="21"/>
          <w:highlight w:val="none"/>
        </w:rPr>
        <w:t>变频器可在输出不带电机的情况下进行空载调试，也可在没有10KV高压情况下用低压电进行空载调试</w:t>
      </w:r>
      <w:r>
        <w:rPr>
          <w:rFonts w:hint="eastAsia"/>
          <w:color w:val="auto"/>
          <w:sz w:val="21"/>
          <w:szCs w:val="21"/>
          <w:highlight w:val="none"/>
        </w:rPr>
        <w:t>。</w:t>
      </w:r>
    </w:p>
    <w:p w14:paraId="6BA1161A">
      <w:pPr>
        <w:pStyle w:val="20"/>
        <w:numPr>
          <w:ilvl w:val="0"/>
          <w:numId w:val="0"/>
        </w:numPr>
        <w:ind w:left="794" w:hanging="794"/>
        <w:rPr>
          <w:rFonts w:hAnsi="Arial"/>
          <w:color w:val="auto"/>
          <w:sz w:val="21"/>
          <w:szCs w:val="21"/>
          <w:highlight w:val="none"/>
        </w:rPr>
      </w:pPr>
      <w:r>
        <w:rPr>
          <w:rFonts w:hint="eastAsia"/>
          <w:color w:val="auto"/>
          <w:sz w:val="21"/>
          <w:szCs w:val="21"/>
          <w:highlight w:val="none"/>
        </w:rPr>
        <w:t>2.5.13</w:t>
      </w:r>
      <w:r>
        <w:rPr>
          <w:color w:val="auto"/>
          <w:sz w:val="21"/>
          <w:szCs w:val="21"/>
          <w:highlight w:val="none"/>
        </w:rPr>
        <w:t>变频器对电网电压波动有极强的适应能力，在</w:t>
      </w:r>
      <w:r>
        <w:rPr>
          <w:rFonts w:hint="eastAsia" w:hAnsi="Arial"/>
          <w:color w:val="auto"/>
          <w:sz w:val="21"/>
          <w:szCs w:val="21"/>
          <w:highlight w:val="none"/>
        </w:rPr>
        <w:t>＋</w:t>
      </w:r>
      <w:r>
        <w:rPr>
          <w:rFonts w:hAnsi="Arial"/>
          <w:color w:val="auto"/>
          <w:sz w:val="21"/>
          <w:szCs w:val="21"/>
          <w:highlight w:val="none"/>
        </w:rPr>
        <w:t>1</w:t>
      </w:r>
      <w:r>
        <w:rPr>
          <w:rFonts w:hint="eastAsia" w:hAnsi="Arial"/>
          <w:color w:val="auto"/>
          <w:sz w:val="21"/>
          <w:szCs w:val="21"/>
          <w:highlight w:val="none"/>
          <w:lang w:val="en-US" w:eastAsia="zh-CN"/>
        </w:rPr>
        <w:t>0</w:t>
      </w:r>
      <w:r>
        <w:rPr>
          <w:rFonts w:hAnsi="Arial"/>
          <w:color w:val="auto"/>
          <w:sz w:val="21"/>
          <w:szCs w:val="21"/>
          <w:highlight w:val="none"/>
        </w:rPr>
        <w:t>%</w:t>
      </w:r>
      <w:r>
        <w:rPr>
          <w:rFonts w:hint="eastAsia" w:hAnsi="Arial"/>
          <w:color w:val="auto"/>
          <w:sz w:val="21"/>
          <w:szCs w:val="21"/>
          <w:highlight w:val="none"/>
        </w:rPr>
        <w:t>～－</w:t>
      </w:r>
      <w:r>
        <w:rPr>
          <w:rFonts w:hAnsi="Arial"/>
          <w:color w:val="auto"/>
          <w:sz w:val="21"/>
          <w:szCs w:val="21"/>
          <w:highlight w:val="none"/>
        </w:rPr>
        <w:t>1</w:t>
      </w:r>
      <w:r>
        <w:rPr>
          <w:rFonts w:hint="eastAsia" w:hAnsi="Arial"/>
          <w:color w:val="auto"/>
          <w:sz w:val="21"/>
          <w:szCs w:val="21"/>
          <w:highlight w:val="none"/>
          <w:lang w:val="en-US" w:eastAsia="zh-CN"/>
        </w:rPr>
        <w:t>0</w:t>
      </w:r>
      <w:r>
        <w:rPr>
          <w:rFonts w:hAnsi="Arial"/>
          <w:color w:val="auto"/>
          <w:sz w:val="21"/>
          <w:szCs w:val="21"/>
          <w:highlight w:val="none"/>
        </w:rPr>
        <w:t>%</w:t>
      </w:r>
      <w:r>
        <w:rPr>
          <w:color w:val="auto"/>
          <w:sz w:val="21"/>
          <w:szCs w:val="21"/>
          <w:highlight w:val="none"/>
        </w:rPr>
        <w:t>范围内变频器能满载工作，可以承受</w:t>
      </w:r>
      <w:r>
        <w:rPr>
          <w:rFonts w:hAnsi="Arial"/>
          <w:color w:val="auto"/>
          <w:sz w:val="21"/>
          <w:szCs w:val="21"/>
          <w:highlight w:val="none"/>
        </w:rPr>
        <w:t>35%</w:t>
      </w:r>
      <w:r>
        <w:rPr>
          <w:color w:val="auto"/>
          <w:sz w:val="21"/>
          <w:szCs w:val="21"/>
          <w:highlight w:val="none"/>
        </w:rPr>
        <w:t>的电网电压下降而降额继续运行，电网瞬时失电</w:t>
      </w:r>
      <w:r>
        <w:rPr>
          <w:rFonts w:hAnsi="Arial"/>
          <w:color w:val="auto"/>
          <w:sz w:val="21"/>
          <w:szCs w:val="21"/>
          <w:highlight w:val="none"/>
        </w:rPr>
        <w:t>5</w:t>
      </w:r>
      <w:r>
        <w:rPr>
          <w:color w:val="auto"/>
          <w:sz w:val="21"/>
          <w:szCs w:val="21"/>
          <w:highlight w:val="none"/>
        </w:rPr>
        <w:t>个周期可</w:t>
      </w:r>
      <w:r>
        <w:rPr>
          <w:rFonts w:hint="eastAsia"/>
          <w:color w:val="auto"/>
          <w:sz w:val="21"/>
          <w:szCs w:val="21"/>
          <w:highlight w:val="none"/>
        </w:rPr>
        <w:t>继续</w:t>
      </w:r>
      <w:r>
        <w:rPr>
          <w:color w:val="auto"/>
          <w:sz w:val="21"/>
          <w:szCs w:val="21"/>
          <w:highlight w:val="none"/>
        </w:rPr>
        <w:t>运行不跳闸</w:t>
      </w:r>
      <w:r>
        <w:rPr>
          <w:rFonts w:hint="eastAsia"/>
          <w:color w:val="auto"/>
          <w:sz w:val="21"/>
          <w:szCs w:val="21"/>
          <w:highlight w:val="none"/>
          <w:lang w:eastAsia="zh-CN"/>
        </w:rPr>
        <w:t>，</w:t>
      </w:r>
      <w:r>
        <w:rPr>
          <w:rFonts w:hint="eastAsia"/>
          <w:color w:val="auto"/>
          <w:sz w:val="21"/>
          <w:szCs w:val="21"/>
          <w:highlight w:val="none"/>
          <w:lang w:val="en-US" w:eastAsia="zh-CN"/>
        </w:rPr>
        <w:t>具备低电压穿越功能</w:t>
      </w:r>
      <w:r>
        <w:rPr>
          <w:rFonts w:hint="eastAsia"/>
          <w:color w:val="auto"/>
          <w:sz w:val="21"/>
          <w:szCs w:val="21"/>
          <w:highlight w:val="none"/>
        </w:rPr>
        <w:t>。</w:t>
      </w:r>
    </w:p>
    <w:p w14:paraId="7C42B171">
      <w:pPr>
        <w:pStyle w:val="20"/>
        <w:numPr>
          <w:ilvl w:val="0"/>
          <w:numId w:val="0"/>
        </w:numPr>
        <w:ind w:left="794" w:hanging="794"/>
        <w:rPr>
          <w:rFonts w:hint="eastAsia"/>
          <w:sz w:val="21"/>
          <w:szCs w:val="21"/>
        </w:rPr>
      </w:pPr>
      <w:r>
        <w:rPr>
          <w:rFonts w:hint="eastAsia"/>
          <w:sz w:val="21"/>
          <w:szCs w:val="21"/>
        </w:rPr>
        <w:t>2.5.14变频调速装置的</w:t>
      </w:r>
      <w:r>
        <w:rPr>
          <w:sz w:val="21"/>
          <w:szCs w:val="21"/>
        </w:rPr>
        <w:t>调速范围</w:t>
      </w:r>
      <w:r>
        <w:rPr>
          <w:rFonts w:hint="eastAsia"/>
          <w:sz w:val="21"/>
          <w:szCs w:val="21"/>
        </w:rPr>
        <w:t>为</w:t>
      </w:r>
      <w:r>
        <w:rPr>
          <w:sz w:val="21"/>
          <w:szCs w:val="21"/>
        </w:rPr>
        <w:t>0-100%连续可调；</w:t>
      </w:r>
      <w:r>
        <w:rPr>
          <w:rFonts w:hint="eastAsia"/>
          <w:sz w:val="21"/>
          <w:szCs w:val="21"/>
        </w:rPr>
        <w:t>在整个频率调节范围内，被控电动机均能保持正常运行。在最低输出频率时，应能持续地输出额定电流；在最高输出频率时，应能输出额定电流或额定功率。</w:t>
      </w:r>
    </w:p>
    <w:p w14:paraId="47589E81">
      <w:pPr>
        <w:pStyle w:val="20"/>
        <w:numPr>
          <w:ilvl w:val="0"/>
          <w:numId w:val="0"/>
        </w:numPr>
        <w:ind w:left="794" w:hanging="794"/>
        <w:rPr>
          <w:rFonts w:hint="eastAsia" w:hAnsi="Arial"/>
          <w:sz w:val="21"/>
          <w:szCs w:val="21"/>
        </w:rPr>
      </w:pPr>
      <w:r>
        <w:rPr>
          <w:rFonts w:hint="eastAsia"/>
          <w:sz w:val="21"/>
          <w:szCs w:val="21"/>
        </w:rPr>
        <w:t>2.5.15变频调速装置</w:t>
      </w:r>
      <w:r>
        <w:rPr>
          <w:sz w:val="21"/>
          <w:szCs w:val="21"/>
        </w:rPr>
        <w:t>在</w:t>
      </w:r>
      <w:r>
        <w:rPr>
          <w:rFonts w:hAnsi="Arial"/>
          <w:sz w:val="21"/>
          <w:szCs w:val="21"/>
        </w:rPr>
        <w:t>20</w:t>
      </w:r>
      <w:r>
        <w:rPr>
          <w:sz w:val="21"/>
          <w:szCs w:val="21"/>
        </w:rPr>
        <w:t>～</w:t>
      </w:r>
      <w:r>
        <w:rPr>
          <w:rFonts w:hAnsi="Arial"/>
          <w:sz w:val="21"/>
          <w:szCs w:val="21"/>
        </w:rPr>
        <w:t>100%</w:t>
      </w:r>
      <w:r>
        <w:rPr>
          <w:sz w:val="21"/>
          <w:szCs w:val="21"/>
        </w:rPr>
        <w:t>的负载变化情况内达到或超过</w:t>
      </w:r>
      <w:r>
        <w:rPr>
          <w:rFonts w:hAnsi="Arial"/>
          <w:sz w:val="21"/>
          <w:szCs w:val="21"/>
        </w:rPr>
        <w:t>0.95</w:t>
      </w:r>
      <w:r>
        <w:rPr>
          <w:sz w:val="21"/>
          <w:szCs w:val="21"/>
        </w:rPr>
        <w:t>的功率因数，</w:t>
      </w:r>
      <w:r>
        <w:rPr>
          <w:rFonts w:hint="eastAsia"/>
          <w:sz w:val="21"/>
          <w:szCs w:val="21"/>
        </w:rPr>
        <w:t>在100%的负载时达到或超过0.96的功率因数，</w:t>
      </w:r>
      <w:r>
        <w:rPr>
          <w:sz w:val="21"/>
          <w:szCs w:val="21"/>
        </w:rPr>
        <w:t>并且电流谐波少，无须功率因数补偿</w:t>
      </w:r>
      <w:r>
        <w:rPr>
          <w:rFonts w:hAnsi="Arial"/>
          <w:sz w:val="21"/>
          <w:szCs w:val="21"/>
        </w:rPr>
        <w:t>/</w:t>
      </w:r>
      <w:r>
        <w:rPr>
          <w:sz w:val="21"/>
          <w:szCs w:val="21"/>
        </w:rPr>
        <w:t>谐波抑制装置</w:t>
      </w:r>
      <w:r>
        <w:rPr>
          <w:rFonts w:hint="eastAsia"/>
          <w:sz w:val="21"/>
          <w:szCs w:val="21"/>
        </w:rPr>
        <w:t>。</w:t>
      </w:r>
    </w:p>
    <w:p w14:paraId="5AFB9FB1">
      <w:pPr>
        <w:pStyle w:val="20"/>
        <w:numPr>
          <w:ilvl w:val="0"/>
          <w:numId w:val="0"/>
        </w:numPr>
        <w:ind w:left="794" w:hanging="794"/>
        <w:rPr>
          <w:rFonts w:hint="eastAsia"/>
          <w:color w:val="auto"/>
          <w:sz w:val="21"/>
          <w:szCs w:val="21"/>
        </w:rPr>
      </w:pPr>
      <w:r>
        <w:rPr>
          <w:rFonts w:hint="eastAsia"/>
          <w:color w:val="auto"/>
          <w:sz w:val="21"/>
          <w:szCs w:val="21"/>
        </w:rPr>
        <w:t xml:space="preserve">2.5.16变频调速装置的功率单元为模块化设计，方便从机架上抽出、移动和更换，所有单元可以互换，每个功率单元输入侧需带有熔断器保护。变频器需配置功率单元在线自动旁路功能，当某个功率单元出现故障时，采用接触器旁路方案，单模块旁路技术，仅旁路掉该故障单元即可，保障可靠切换和变频器的连续稳定运行。 </w:t>
      </w:r>
    </w:p>
    <w:p w14:paraId="32B8D34A">
      <w:pPr>
        <w:pStyle w:val="20"/>
        <w:numPr>
          <w:ilvl w:val="0"/>
          <w:numId w:val="0"/>
        </w:numPr>
        <w:ind w:left="794" w:hanging="794"/>
        <w:rPr>
          <w:sz w:val="21"/>
          <w:szCs w:val="21"/>
          <w:highlight w:val="none"/>
        </w:rPr>
      </w:pPr>
      <w:r>
        <w:rPr>
          <w:rFonts w:hint="eastAsia"/>
          <w:sz w:val="21"/>
          <w:szCs w:val="21"/>
        </w:rPr>
        <w:t>2.5.17变压器效率应达到98%以上，变频调速装置整个系统的效率（包括输入隔离变压器等）在整个调速范围内必须达到</w:t>
      </w:r>
      <w:r>
        <w:rPr>
          <w:rFonts w:hint="eastAsia"/>
          <w:sz w:val="21"/>
          <w:szCs w:val="21"/>
          <w:highlight w:val="none"/>
        </w:rPr>
        <w:t>9</w:t>
      </w:r>
      <w:r>
        <w:rPr>
          <w:rFonts w:hint="eastAsia"/>
          <w:sz w:val="21"/>
          <w:szCs w:val="21"/>
          <w:highlight w:val="none"/>
          <w:lang w:val="en-US" w:eastAsia="zh-CN"/>
        </w:rPr>
        <w:t>6</w:t>
      </w:r>
      <w:r>
        <w:rPr>
          <w:rFonts w:hint="eastAsia"/>
          <w:sz w:val="21"/>
          <w:szCs w:val="21"/>
          <w:highlight w:val="none"/>
        </w:rPr>
        <w:t>%以上。</w:t>
      </w:r>
    </w:p>
    <w:p w14:paraId="3B95CBC6">
      <w:pPr>
        <w:pStyle w:val="20"/>
        <w:numPr>
          <w:ilvl w:val="0"/>
          <w:numId w:val="0"/>
        </w:numPr>
        <w:ind w:left="794" w:hanging="794"/>
        <w:rPr>
          <w:rFonts w:hAnsi="Arial"/>
          <w:sz w:val="21"/>
          <w:szCs w:val="21"/>
        </w:rPr>
      </w:pPr>
      <w:r>
        <w:rPr>
          <w:rFonts w:hint="eastAsia"/>
          <w:sz w:val="21"/>
          <w:szCs w:val="21"/>
        </w:rPr>
        <w:t>2.5.18变频器应具有如下</w:t>
      </w:r>
      <w:r>
        <w:rPr>
          <w:sz w:val="21"/>
          <w:szCs w:val="21"/>
        </w:rPr>
        <w:t>过载能力</w:t>
      </w:r>
      <w:r>
        <w:rPr>
          <w:rFonts w:hint="eastAsia"/>
          <w:sz w:val="21"/>
          <w:szCs w:val="21"/>
        </w:rPr>
        <w:t>：120%  1min，15</w:t>
      </w:r>
      <w:r>
        <w:rPr>
          <w:rFonts w:hAnsi="Arial"/>
          <w:sz w:val="21"/>
          <w:szCs w:val="21"/>
        </w:rPr>
        <w:t>0% 3s</w:t>
      </w:r>
      <w:r>
        <w:rPr>
          <w:sz w:val="21"/>
          <w:szCs w:val="21"/>
        </w:rPr>
        <w:t>，</w:t>
      </w:r>
      <w:r>
        <w:rPr>
          <w:rFonts w:hAnsi="Arial"/>
          <w:sz w:val="21"/>
          <w:szCs w:val="21"/>
        </w:rPr>
        <w:t>200%</w:t>
      </w:r>
      <w:r>
        <w:rPr>
          <w:sz w:val="21"/>
          <w:szCs w:val="21"/>
        </w:rPr>
        <w:t>立即保护（</w:t>
      </w:r>
      <w:r>
        <w:rPr>
          <w:rFonts w:hAnsi="Arial"/>
          <w:sz w:val="21"/>
          <w:szCs w:val="21"/>
        </w:rPr>
        <w:t>&lt;10μs</w:t>
      </w:r>
      <w:r>
        <w:rPr>
          <w:sz w:val="21"/>
          <w:szCs w:val="21"/>
        </w:rPr>
        <w:t>），</w:t>
      </w:r>
      <w:r>
        <w:rPr>
          <w:rFonts w:hint="eastAsia"/>
          <w:sz w:val="21"/>
          <w:szCs w:val="21"/>
        </w:rPr>
        <w:t>且</w:t>
      </w:r>
      <w:r>
        <w:rPr>
          <w:sz w:val="21"/>
          <w:szCs w:val="21"/>
        </w:rPr>
        <w:t>满足泵类和风机类负荷要求</w:t>
      </w:r>
      <w:r>
        <w:rPr>
          <w:rFonts w:hint="eastAsia"/>
          <w:sz w:val="21"/>
          <w:szCs w:val="21"/>
        </w:rPr>
        <w:t>。</w:t>
      </w:r>
    </w:p>
    <w:p w14:paraId="0C48AB03">
      <w:pPr>
        <w:pStyle w:val="20"/>
        <w:numPr>
          <w:ilvl w:val="0"/>
          <w:numId w:val="0"/>
        </w:numPr>
        <w:ind w:left="794" w:hanging="794"/>
        <w:rPr>
          <w:sz w:val="21"/>
          <w:szCs w:val="21"/>
        </w:rPr>
      </w:pPr>
      <w:r>
        <w:rPr>
          <w:rFonts w:hint="eastAsia"/>
          <w:sz w:val="21"/>
          <w:szCs w:val="21"/>
        </w:rPr>
        <w:t>2.5.19变频调速装置的</w:t>
      </w:r>
      <w:r>
        <w:rPr>
          <w:sz w:val="21"/>
          <w:szCs w:val="21"/>
        </w:rPr>
        <w:t>输出频率0-</w:t>
      </w:r>
      <w:r>
        <w:rPr>
          <w:rFonts w:hint="eastAsia"/>
          <w:sz w:val="21"/>
          <w:szCs w:val="21"/>
        </w:rPr>
        <w:t>5</w:t>
      </w:r>
      <w:r>
        <w:rPr>
          <w:sz w:val="21"/>
          <w:szCs w:val="21"/>
        </w:rPr>
        <w:t>0H</w:t>
      </w:r>
      <w:r>
        <w:rPr>
          <w:rFonts w:hint="eastAsia"/>
          <w:sz w:val="21"/>
          <w:szCs w:val="21"/>
        </w:rPr>
        <w:t>z，</w:t>
      </w:r>
      <w:r>
        <w:rPr>
          <w:sz w:val="21"/>
          <w:szCs w:val="21"/>
        </w:rPr>
        <w:t>根据电机情况可</w:t>
      </w:r>
      <w:r>
        <w:rPr>
          <w:rFonts w:hint="eastAsia"/>
          <w:sz w:val="21"/>
          <w:szCs w:val="21"/>
        </w:rPr>
        <w:t>重新</w:t>
      </w:r>
      <w:r>
        <w:rPr>
          <w:sz w:val="21"/>
          <w:szCs w:val="21"/>
        </w:rPr>
        <w:t>设定</w:t>
      </w:r>
      <w:r>
        <w:rPr>
          <w:rFonts w:hint="eastAsia"/>
          <w:sz w:val="21"/>
          <w:szCs w:val="21"/>
        </w:rPr>
        <w:t>；</w:t>
      </w:r>
      <w:r>
        <w:rPr>
          <w:sz w:val="21"/>
          <w:szCs w:val="21"/>
        </w:rPr>
        <w:t>输出频率</w:t>
      </w:r>
      <w:r>
        <w:rPr>
          <w:rFonts w:hint="eastAsia"/>
          <w:sz w:val="21"/>
          <w:szCs w:val="21"/>
        </w:rPr>
        <w:t>的</w:t>
      </w:r>
      <w:r>
        <w:rPr>
          <w:sz w:val="21"/>
          <w:szCs w:val="21"/>
        </w:rPr>
        <w:t>分辨率</w:t>
      </w:r>
      <w:r>
        <w:rPr>
          <w:rFonts w:hint="eastAsia"/>
          <w:sz w:val="21"/>
          <w:szCs w:val="21"/>
        </w:rPr>
        <w:t>为</w:t>
      </w:r>
      <w:r>
        <w:rPr>
          <w:sz w:val="21"/>
          <w:szCs w:val="21"/>
        </w:rPr>
        <w:t>0.01Hz</w:t>
      </w:r>
      <w:r>
        <w:rPr>
          <w:rFonts w:hint="eastAsia"/>
          <w:sz w:val="21"/>
          <w:szCs w:val="21"/>
        </w:rPr>
        <w:t>；额定输出频率时频率的稳定度应符合国际标准。</w:t>
      </w:r>
    </w:p>
    <w:p w14:paraId="56BE662E">
      <w:pPr>
        <w:pStyle w:val="20"/>
        <w:numPr>
          <w:ilvl w:val="0"/>
          <w:numId w:val="0"/>
        </w:numPr>
        <w:ind w:left="794" w:hanging="794"/>
        <w:rPr>
          <w:rFonts w:hAnsi="Arial"/>
          <w:sz w:val="21"/>
          <w:szCs w:val="21"/>
        </w:rPr>
      </w:pPr>
      <w:r>
        <w:rPr>
          <w:rFonts w:hint="eastAsia"/>
          <w:sz w:val="21"/>
          <w:szCs w:val="21"/>
        </w:rPr>
        <w:t>2.5.20变频器的</w:t>
      </w:r>
      <w:r>
        <w:rPr>
          <w:sz w:val="21"/>
          <w:szCs w:val="21"/>
        </w:rPr>
        <w:t>转矩特性：</w:t>
      </w:r>
      <w:r>
        <w:rPr>
          <w:rFonts w:hAnsi="Arial"/>
          <w:sz w:val="21"/>
          <w:szCs w:val="21"/>
        </w:rPr>
        <w:t>0</w:t>
      </w:r>
      <w:r>
        <w:rPr>
          <w:sz w:val="21"/>
          <w:szCs w:val="21"/>
        </w:rPr>
        <w:t>～</w:t>
      </w:r>
      <w:r>
        <w:rPr>
          <w:rFonts w:hAnsi="Arial"/>
          <w:sz w:val="21"/>
          <w:szCs w:val="21"/>
        </w:rPr>
        <w:t>50Hz</w:t>
      </w:r>
      <w:r>
        <w:rPr>
          <w:sz w:val="21"/>
          <w:szCs w:val="21"/>
        </w:rPr>
        <w:t>恒转矩特性，额定转矩输出，转矩阶跃响应＜</w:t>
      </w:r>
      <w:r>
        <w:rPr>
          <w:rFonts w:hAnsi="Arial"/>
          <w:sz w:val="21"/>
          <w:szCs w:val="21"/>
        </w:rPr>
        <w:t>200ms</w:t>
      </w:r>
      <w:r>
        <w:rPr>
          <w:rFonts w:hint="eastAsia"/>
          <w:sz w:val="21"/>
          <w:szCs w:val="21"/>
        </w:rPr>
        <w:t>；</w:t>
      </w:r>
      <w:r>
        <w:rPr>
          <w:rFonts w:hAnsi="Arial"/>
          <w:sz w:val="21"/>
          <w:szCs w:val="21"/>
        </w:rPr>
        <w:t>50Hz</w:t>
      </w:r>
      <w:r>
        <w:rPr>
          <w:sz w:val="21"/>
          <w:szCs w:val="21"/>
        </w:rPr>
        <w:t>以上恒功率特性，最大转矩与转速成反比下降</w:t>
      </w:r>
      <w:r>
        <w:rPr>
          <w:rFonts w:hint="eastAsia"/>
          <w:sz w:val="21"/>
          <w:szCs w:val="21"/>
        </w:rPr>
        <w:t>。</w:t>
      </w:r>
    </w:p>
    <w:p w14:paraId="1E58031A">
      <w:pPr>
        <w:pStyle w:val="20"/>
        <w:numPr>
          <w:ilvl w:val="0"/>
          <w:numId w:val="0"/>
        </w:numPr>
        <w:ind w:left="794" w:hanging="794"/>
        <w:rPr>
          <w:rFonts w:hint="eastAsia"/>
          <w:sz w:val="21"/>
          <w:szCs w:val="21"/>
        </w:rPr>
      </w:pPr>
      <w:r>
        <w:rPr>
          <w:rFonts w:hint="eastAsia"/>
          <w:sz w:val="21"/>
          <w:szCs w:val="21"/>
        </w:rPr>
        <w:t>2.5.21变频调速装置的</w:t>
      </w:r>
      <w:r>
        <w:rPr>
          <w:sz w:val="21"/>
          <w:szCs w:val="21"/>
        </w:rPr>
        <w:t>控制系统采用全数字微机控制，有很强的</w:t>
      </w:r>
      <w:r>
        <w:rPr>
          <w:rFonts w:hint="eastAsia"/>
          <w:sz w:val="21"/>
          <w:szCs w:val="21"/>
        </w:rPr>
        <w:t>故障</w:t>
      </w:r>
      <w:r>
        <w:rPr>
          <w:sz w:val="21"/>
          <w:szCs w:val="21"/>
        </w:rPr>
        <w:t>自诊断功能，</w:t>
      </w:r>
      <w:r>
        <w:rPr>
          <w:rFonts w:hint="eastAsia"/>
          <w:sz w:val="21"/>
          <w:szCs w:val="21"/>
        </w:rPr>
        <w:t>具有</w:t>
      </w:r>
      <w:r>
        <w:rPr>
          <w:sz w:val="21"/>
          <w:szCs w:val="21"/>
        </w:rPr>
        <w:t>完整的故障监测电路</w:t>
      </w:r>
      <w:r>
        <w:rPr>
          <w:rFonts w:hint="eastAsia"/>
          <w:sz w:val="21"/>
          <w:szCs w:val="21"/>
        </w:rPr>
        <w:t>和</w:t>
      </w:r>
      <w:r>
        <w:rPr>
          <w:sz w:val="21"/>
          <w:szCs w:val="21"/>
        </w:rPr>
        <w:t>精确的故障报警保护</w:t>
      </w:r>
      <w:r>
        <w:rPr>
          <w:rFonts w:hint="eastAsia"/>
          <w:sz w:val="21"/>
          <w:szCs w:val="21"/>
        </w:rPr>
        <w:t>，</w:t>
      </w:r>
      <w:r>
        <w:rPr>
          <w:sz w:val="21"/>
          <w:szCs w:val="21"/>
        </w:rPr>
        <w:t>能对所发生的故障类型及故障位置提供中文指示，能在就地显示并远方报警，便于运行检修人员辨别和解决所出现的问题</w:t>
      </w:r>
      <w:r>
        <w:rPr>
          <w:rFonts w:hint="eastAsia"/>
          <w:sz w:val="21"/>
          <w:szCs w:val="21"/>
        </w:rPr>
        <w:t>。</w:t>
      </w:r>
    </w:p>
    <w:p w14:paraId="63094629">
      <w:pPr>
        <w:pStyle w:val="20"/>
        <w:numPr>
          <w:ilvl w:val="0"/>
          <w:numId w:val="0"/>
        </w:numPr>
        <w:ind w:left="794" w:hanging="794"/>
        <w:rPr>
          <w:sz w:val="21"/>
          <w:szCs w:val="21"/>
        </w:rPr>
      </w:pPr>
      <w:r>
        <w:rPr>
          <w:rFonts w:hint="eastAsia"/>
          <w:sz w:val="21"/>
          <w:szCs w:val="21"/>
        </w:rPr>
        <w:t>2.5.22 变频调速装置应具有对环境温度的监控功能，当温度超过变频器允许的环境温度时，变频器须</w:t>
      </w:r>
      <w:r>
        <w:rPr>
          <w:rFonts w:hint="eastAsia"/>
          <w:sz w:val="21"/>
          <w:szCs w:val="21"/>
          <w:lang w:val="en-US" w:eastAsia="zh-CN"/>
        </w:rPr>
        <w:t>配合</w:t>
      </w:r>
      <w:r>
        <w:rPr>
          <w:rFonts w:hint="eastAsia"/>
          <w:sz w:val="21"/>
          <w:szCs w:val="21"/>
        </w:rPr>
        <w:t>提供报警。</w:t>
      </w:r>
    </w:p>
    <w:p w14:paraId="0F49A0C0">
      <w:pPr>
        <w:pStyle w:val="20"/>
        <w:numPr>
          <w:ilvl w:val="0"/>
          <w:numId w:val="0"/>
        </w:numPr>
        <w:ind w:left="794" w:hanging="794"/>
        <w:rPr>
          <w:sz w:val="21"/>
          <w:szCs w:val="21"/>
        </w:rPr>
      </w:pPr>
      <w:r>
        <w:rPr>
          <w:rFonts w:hint="eastAsia"/>
          <w:sz w:val="21"/>
          <w:szCs w:val="21"/>
        </w:rPr>
        <w:t>2.5.23 变频调速装置</w:t>
      </w:r>
      <w:r>
        <w:rPr>
          <w:sz w:val="21"/>
          <w:szCs w:val="21"/>
        </w:rPr>
        <w:t>具有就地监控和远方监控方式</w:t>
      </w:r>
      <w:r>
        <w:rPr>
          <w:rFonts w:hint="eastAsia"/>
          <w:sz w:val="21"/>
          <w:szCs w:val="21"/>
        </w:rPr>
        <w:t>，并可对其进行远程/现场控制的切换。为便于现场维护，变频器应设有带中文显示的操作员终端触摸屏，能够显示变频器所有参数/变量、报警细节、故障分析结果，</w:t>
      </w:r>
      <w:r>
        <w:rPr>
          <w:sz w:val="21"/>
          <w:szCs w:val="21"/>
        </w:rPr>
        <w:t>可进行就地人工启停变频器，调整转速、频率；就地控制窗口采用中文操作界面，功能</w:t>
      </w:r>
      <w:r>
        <w:rPr>
          <w:rFonts w:hint="eastAsia"/>
          <w:sz w:val="21"/>
          <w:szCs w:val="21"/>
        </w:rPr>
        <w:t>和</w:t>
      </w:r>
      <w:r>
        <w:rPr>
          <w:sz w:val="21"/>
          <w:szCs w:val="21"/>
        </w:rPr>
        <w:t>参数设定等均采用中文。卖方提供的变频装置支撑软件为汉化的最新的正版软件</w:t>
      </w:r>
      <w:r>
        <w:rPr>
          <w:rFonts w:hint="eastAsia"/>
          <w:sz w:val="21"/>
          <w:szCs w:val="21"/>
        </w:rPr>
        <w:t>。</w:t>
      </w:r>
    </w:p>
    <w:p w14:paraId="72228AE1">
      <w:pPr>
        <w:pStyle w:val="20"/>
        <w:numPr>
          <w:ilvl w:val="2"/>
          <w:numId w:val="11"/>
        </w:numPr>
        <w:rPr>
          <w:sz w:val="21"/>
          <w:szCs w:val="21"/>
        </w:rPr>
      </w:pPr>
      <w:r>
        <w:rPr>
          <w:rFonts w:hint="eastAsia"/>
          <w:sz w:val="21"/>
          <w:szCs w:val="21"/>
        </w:rPr>
        <w:t>变频器</w:t>
      </w:r>
      <w:r>
        <w:rPr>
          <w:sz w:val="21"/>
          <w:szCs w:val="21"/>
        </w:rPr>
        <w:t>控制系统</w:t>
      </w:r>
      <w:r>
        <w:rPr>
          <w:rFonts w:hint="eastAsia"/>
          <w:sz w:val="21"/>
          <w:szCs w:val="21"/>
        </w:rPr>
        <w:t>应</w:t>
      </w:r>
      <w:r>
        <w:rPr>
          <w:sz w:val="21"/>
          <w:szCs w:val="21"/>
        </w:rPr>
        <w:t>具有在线检测</w:t>
      </w:r>
      <w:r>
        <w:rPr>
          <w:rFonts w:hint="eastAsia"/>
          <w:sz w:val="21"/>
          <w:szCs w:val="21"/>
        </w:rPr>
        <w:t>功能，运行中可监测并数字显示</w:t>
      </w:r>
      <w:r>
        <w:rPr>
          <w:sz w:val="21"/>
          <w:szCs w:val="21"/>
        </w:rPr>
        <w:t>变频器输入电压、电流、输出电压、电流、频率、电机转速等</w:t>
      </w:r>
      <w:r>
        <w:rPr>
          <w:rFonts w:hint="eastAsia"/>
          <w:sz w:val="21"/>
          <w:szCs w:val="21"/>
        </w:rPr>
        <w:t>参数以及其他需要显示的参数，投标方应明确数显参数内容。</w:t>
      </w:r>
    </w:p>
    <w:p w14:paraId="12B82FCF">
      <w:pPr>
        <w:pStyle w:val="20"/>
        <w:numPr>
          <w:ilvl w:val="2"/>
          <w:numId w:val="11"/>
        </w:numPr>
        <w:rPr>
          <w:rFonts w:hint="eastAsia"/>
          <w:color w:val="auto"/>
          <w:sz w:val="21"/>
          <w:szCs w:val="21"/>
          <w:highlight w:val="none"/>
        </w:rPr>
      </w:pPr>
      <w:r>
        <w:rPr>
          <w:rFonts w:hint="eastAsia"/>
          <w:sz w:val="21"/>
          <w:szCs w:val="21"/>
        </w:rPr>
        <w:t>变频调速装置</w:t>
      </w:r>
      <w:r>
        <w:rPr>
          <w:rFonts w:hint="eastAsia"/>
          <w:sz w:val="21"/>
          <w:szCs w:val="21"/>
          <w:lang w:val="en-US" w:eastAsia="zh-CN"/>
        </w:rPr>
        <w:t>应</w:t>
      </w:r>
      <w:r>
        <w:rPr>
          <w:rFonts w:hint="eastAsia"/>
          <w:sz w:val="21"/>
          <w:szCs w:val="21"/>
        </w:rPr>
        <w:t>自带UPS电源装置，在控制电源掉电后能够保持30分钟，买方仅负责提供厂用AC 380/220V电源作为变频器的控制电源</w:t>
      </w:r>
      <w:r>
        <w:rPr>
          <w:rFonts w:hint="eastAsia"/>
          <w:color w:val="auto"/>
          <w:sz w:val="21"/>
          <w:szCs w:val="21"/>
          <w:highlight w:val="none"/>
        </w:rPr>
        <w:t>（如需要UPS时）。</w:t>
      </w:r>
    </w:p>
    <w:p w14:paraId="0ADD62BD">
      <w:pPr>
        <w:pStyle w:val="20"/>
        <w:numPr>
          <w:ilvl w:val="2"/>
          <w:numId w:val="11"/>
        </w:numPr>
        <w:rPr>
          <w:rFonts w:hint="eastAsia"/>
          <w:color w:val="auto"/>
          <w:sz w:val="21"/>
          <w:szCs w:val="21"/>
          <w:highlight w:val="none"/>
        </w:rPr>
      </w:pPr>
      <w:r>
        <w:rPr>
          <w:rFonts w:hint="eastAsia"/>
          <w:color w:val="auto"/>
          <w:sz w:val="21"/>
          <w:szCs w:val="21"/>
          <w:highlight w:val="none"/>
        </w:rPr>
        <w:t>控制电源交流</w:t>
      </w:r>
      <w:r>
        <w:rPr>
          <w:rFonts w:hint="eastAsia"/>
          <w:color w:val="auto"/>
          <w:sz w:val="21"/>
          <w:szCs w:val="21"/>
          <w:highlight w:val="none"/>
          <w:lang w:val="en-US" w:eastAsia="zh-CN"/>
        </w:rPr>
        <w:t>380V、</w:t>
      </w:r>
      <w:r>
        <w:rPr>
          <w:rFonts w:hint="eastAsia"/>
          <w:color w:val="auto"/>
          <w:sz w:val="21"/>
          <w:szCs w:val="21"/>
          <w:highlight w:val="none"/>
        </w:rPr>
        <w:t>220V</w:t>
      </w:r>
      <w:r>
        <w:rPr>
          <w:rFonts w:hint="eastAsia"/>
          <w:color w:val="auto"/>
          <w:sz w:val="21"/>
          <w:szCs w:val="21"/>
          <w:highlight w:val="none"/>
          <w:lang w:val="en-US" w:eastAsia="zh-CN"/>
        </w:rPr>
        <w:t>或直流110V</w:t>
      </w:r>
      <w:r>
        <w:rPr>
          <w:rFonts w:hint="eastAsia"/>
          <w:color w:val="auto"/>
          <w:sz w:val="21"/>
          <w:szCs w:val="21"/>
          <w:highlight w:val="none"/>
        </w:rPr>
        <w:t>，</w:t>
      </w:r>
      <w:r>
        <w:rPr>
          <w:rFonts w:hint="eastAsia"/>
          <w:color w:val="auto"/>
          <w:sz w:val="21"/>
          <w:szCs w:val="21"/>
          <w:highlight w:val="none"/>
          <w:lang w:val="en-US" w:eastAsia="zh-CN"/>
        </w:rPr>
        <w:t>双电源</w:t>
      </w:r>
      <w:r>
        <w:rPr>
          <w:rFonts w:hint="eastAsia"/>
          <w:color w:val="auto"/>
          <w:sz w:val="21"/>
          <w:szCs w:val="21"/>
          <w:highlight w:val="none"/>
        </w:rPr>
        <w:t>冗余切换。</w:t>
      </w:r>
    </w:p>
    <w:p w14:paraId="75C88781">
      <w:pPr>
        <w:pStyle w:val="20"/>
        <w:numPr>
          <w:ilvl w:val="2"/>
          <w:numId w:val="11"/>
        </w:numPr>
        <w:rPr>
          <w:color w:val="auto"/>
          <w:sz w:val="21"/>
          <w:szCs w:val="21"/>
          <w:highlight w:val="none"/>
        </w:rPr>
      </w:pPr>
      <w:r>
        <w:rPr>
          <w:color w:val="auto"/>
          <w:sz w:val="21"/>
          <w:szCs w:val="21"/>
          <w:highlight w:val="none"/>
        </w:rPr>
        <w:t>变频器高压主回路与控制器之间</w:t>
      </w:r>
      <w:r>
        <w:rPr>
          <w:rFonts w:hint="eastAsia"/>
          <w:color w:val="auto"/>
          <w:sz w:val="21"/>
          <w:szCs w:val="21"/>
          <w:highlight w:val="none"/>
        </w:rPr>
        <w:t>应采用光纤电缆连接</w:t>
      </w:r>
      <w:r>
        <w:rPr>
          <w:color w:val="auto"/>
          <w:sz w:val="21"/>
          <w:szCs w:val="21"/>
          <w:highlight w:val="none"/>
        </w:rPr>
        <w:t>，具有很高的通信速率和抗干扰能力，安全性好；</w:t>
      </w:r>
      <w:r>
        <w:rPr>
          <w:rFonts w:hint="eastAsia"/>
          <w:color w:val="auto"/>
          <w:sz w:val="21"/>
          <w:szCs w:val="21"/>
          <w:highlight w:val="none"/>
        </w:rPr>
        <w:t>变频器柜内的强电信号和弱电信号应分开布置，以避免干扰；变频器应对本体控制系统的就地控制柜无谐波影响。</w:t>
      </w:r>
    </w:p>
    <w:p w14:paraId="7F55F410">
      <w:pPr>
        <w:pStyle w:val="20"/>
        <w:numPr>
          <w:ilvl w:val="2"/>
          <w:numId w:val="11"/>
        </w:numPr>
        <w:rPr>
          <w:sz w:val="21"/>
          <w:szCs w:val="21"/>
        </w:rPr>
      </w:pPr>
      <w:r>
        <w:rPr>
          <w:rFonts w:hint="eastAsia"/>
          <w:color w:val="auto"/>
          <w:sz w:val="21"/>
          <w:szCs w:val="21"/>
          <w:highlight w:val="none"/>
        </w:rPr>
        <w:t>变频调速装置内置PLC</w:t>
      </w:r>
      <w:r>
        <w:rPr>
          <w:rFonts w:hint="eastAsia"/>
          <w:color w:val="auto"/>
          <w:sz w:val="21"/>
          <w:szCs w:val="21"/>
          <w:highlight w:val="none"/>
          <w:lang w:eastAsia="zh-CN"/>
        </w:rPr>
        <w:t>（</w:t>
      </w:r>
      <w:r>
        <w:rPr>
          <w:rFonts w:hint="eastAsia"/>
          <w:color w:val="auto"/>
          <w:sz w:val="21"/>
          <w:szCs w:val="21"/>
          <w:highlight w:val="none"/>
          <w:lang w:val="en-US" w:eastAsia="zh-CN"/>
        </w:rPr>
        <w:t>或控制器</w:t>
      </w:r>
      <w:r>
        <w:rPr>
          <w:rFonts w:hint="eastAsia"/>
          <w:color w:val="auto"/>
          <w:sz w:val="21"/>
          <w:szCs w:val="21"/>
          <w:highlight w:val="none"/>
          <w:lang w:eastAsia="zh-CN"/>
        </w:rPr>
        <w:t>）</w:t>
      </w:r>
      <w:r>
        <w:rPr>
          <w:rFonts w:hint="eastAsia"/>
          <w:color w:val="auto"/>
          <w:sz w:val="21"/>
          <w:szCs w:val="21"/>
          <w:highlight w:val="none"/>
        </w:rPr>
        <w:t>，应具有与机组</w:t>
      </w:r>
      <w:r>
        <w:rPr>
          <w:rFonts w:hint="eastAsia"/>
          <w:sz w:val="21"/>
          <w:szCs w:val="21"/>
        </w:rPr>
        <w:t>DCS系统的通讯接口，并能以硬接线形式反馈变频调速装置的主要状态和故障报警信号。变频调速装置的</w:t>
      </w:r>
      <w:r>
        <w:rPr>
          <w:sz w:val="21"/>
          <w:szCs w:val="21"/>
        </w:rPr>
        <w:t>I/O</w:t>
      </w:r>
      <w:r>
        <w:rPr>
          <w:rFonts w:hint="eastAsia"/>
          <w:sz w:val="21"/>
          <w:szCs w:val="21"/>
        </w:rPr>
        <w:t>可根据用户要求进行参数化，但应至少包含以下几种开关量信号和模拟量信号：</w:t>
      </w:r>
    </w:p>
    <w:p w14:paraId="07897580">
      <w:pPr>
        <w:pStyle w:val="20"/>
        <w:numPr>
          <w:ilvl w:val="0"/>
          <w:numId w:val="0"/>
        </w:numPr>
        <w:ind w:left="793" w:leftChars="300" w:hanging="163" w:hangingChars="78"/>
        <w:rPr>
          <w:sz w:val="21"/>
          <w:szCs w:val="21"/>
        </w:rPr>
      </w:pPr>
      <w:r>
        <w:rPr>
          <w:sz w:val="21"/>
          <w:szCs w:val="21"/>
        </w:rPr>
        <w:t>模拟量输入：</w:t>
      </w:r>
      <w:r>
        <w:rPr>
          <w:rFonts w:hint="eastAsia"/>
          <w:sz w:val="21"/>
          <w:szCs w:val="21"/>
        </w:rPr>
        <w:t>频率调节（转速给定），采用</w:t>
      </w:r>
      <w:r>
        <w:rPr>
          <w:sz w:val="21"/>
          <w:szCs w:val="21"/>
        </w:rPr>
        <w:t>4～20mA</w:t>
      </w:r>
      <w:r>
        <w:rPr>
          <w:rFonts w:hint="eastAsia"/>
          <w:sz w:val="21"/>
          <w:szCs w:val="21"/>
        </w:rPr>
        <w:t>的直流电流量形式；</w:t>
      </w:r>
      <w:r>
        <w:rPr>
          <w:sz w:val="21"/>
          <w:szCs w:val="21"/>
        </w:rPr>
        <w:t xml:space="preserve"> </w:t>
      </w:r>
    </w:p>
    <w:p w14:paraId="6CBECD6E">
      <w:pPr>
        <w:pStyle w:val="20"/>
        <w:numPr>
          <w:ilvl w:val="0"/>
          <w:numId w:val="0"/>
        </w:numPr>
        <w:ind w:left="793" w:leftChars="300" w:hanging="163" w:hangingChars="78"/>
        <w:rPr>
          <w:sz w:val="21"/>
          <w:szCs w:val="21"/>
        </w:rPr>
      </w:pPr>
      <w:r>
        <w:rPr>
          <w:sz w:val="21"/>
          <w:szCs w:val="21"/>
        </w:rPr>
        <w:t>模拟量输出：</w:t>
      </w:r>
      <w:r>
        <w:rPr>
          <w:rFonts w:hint="eastAsia"/>
          <w:sz w:val="21"/>
          <w:szCs w:val="21"/>
        </w:rPr>
        <w:t>变频器的输出电流频率，采用</w:t>
      </w:r>
      <w:r>
        <w:rPr>
          <w:sz w:val="21"/>
          <w:szCs w:val="21"/>
        </w:rPr>
        <w:t>4～20mA</w:t>
      </w:r>
      <w:r>
        <w:rPr>
          <w:rFonts w:hint="eastAsia"/>
          <w:sz w:val="21"/>
          <w:szCs w:val="21"/>
        </w:rPr>
        <w:t>的直流电流量形式；</w:t>
      </w:r>
    </w:p>
    <w:p w14:paraId="7F57B258">
      <w:pPr>
        <w:pStyle w:val="20"/>
        <w:numPr>
          <w:ilvl w:val="0"/>
          <w:numId w:val="0"/>
        </w:numPr>
        <w:ind w:left="793" w:leftChars="300" w:hanging="163" w:hangingChars="78"/>
        <w:rPr>
          <w:sz w:val="21"/>
          <w:szCs w:val="21"/>
        </w:rPr>
      </w:pPr>
      <w:r>
        <w:rPr>
          <w:sz w:val="21"/>
          <w:szCs w:val="21"/>
        </w:rPr>
        <w:t>开关量输入：</w:t>
      </w:r>
      <w:r>
        <w:rPr>
          <w:rFonts w:hint="eastAsia"/>
          <w:sz w:val="21"/>
          <w:szCs w:val="21"/>
        </w:rPr>
        <w:t>起动、停止电机，采用</w:t>
      </w:r>
      <w:r>
        <w:rPr>
          <w:sz w:val="21"/>
          <w:szCs w:val="21"/>
        </w:rPr>
        <w:t>无源节点</w:t>
      </w:r>
      <w:r>
        <w:rPr>
          <w:rFonts w:hint="eastAsia"/>
          <w:sz w:val="21"/>
          <w:szCs w:val="21"/>
        </w:rPr>
        <w:t>形式</w:t>
      </w:r>
      <w:r>
        <w:rPr>
          <w:sz w:val="21"/>
          <w:szCs w:val="21"/>
        </w:rPr>
        <w:t>；</w:t>
      </w:r>
    </w:p>
    <w:p w14:paraId="257CE52B">
      <w:pPr>
        <w:pStyle w:val="20"/>
        <w:numPr>
          <w:ilvl w:val="0"/>
          <w:numId w:val="0"/>
        </w:numPr>
        <w:ind w:left="793" w:leftChars="300" w:hanging="163" w:hangingChars="78"/>
        <w:rPr>
          <w:rFonts w:hint="eastAsia"/>
          <w:sz w:val="21"/>
          <w:szCs w:val="21"/>
        </w:rPr>
      </w:pPr>
      <w:r>
        <w:rPr>
          <w:sz w:val="21"/>
          <w:szCs w:val="21"/>
        </w:rPr>
        <w:t>开关量输出：</w:t>
      </w:r>
      <w:r>
        <w:rPr>
          <w:rFonts w:hint="eastAsia"/>
          <w:sz w:val="21"/>
          <w:szCs w:val="21"/>
        </w:rPr>
        <w:t>变频器高压就绪、变频器运行、变频器故障、变频器停止、手动/自动转换等</w:t>
      </w:r>
    </w:p>
    <w:p w14:paraId="1EB8B0AB">
      <w:pPr>
        <w:pStyle w:val="20"/>
        <w:numPr>
          <w:ilvl w:val="0"/>
          <w:numId w:val="0"/>
        </w:numPr>
        <w:ind w:left="793" w:leftChars="300" w:hanging="163" w:hangingChars="78"/>
        <w:rPr>
          <w:sz w:val="21"/>
          <w:szCs w:val="21"/>
        </w:rPr>
      </w:pPr>
      <w:r>
        <w:rPr>
          <w:rFonts w:hint="eastAsia"/>
          <w:sz w:val="21"/>
          <w:szCs w:val="21"/>
        </w:rPr>
        <w:t>信号，采用</w:t>
      </w:r>
      <w:r>
        <w:rPr>
          <w:sz w:val="21"/>
          <w:szCs w:val="21"/>
        </w:rPr>
        <w:t>无源节点</w:t>
      </w:r>
      <w:r>
        <w:rPr>
          <w:rFonts w:hint="eastAsia"/>
          <w:sz w:val="21"/>
          <w:szCs w:val="21"/>
        </w:rPr>
        <w:t>形式。</w:t>
      </w:r>
    </w:p>
    <w:p w14:paraId="102B8710">
      <w:pPr>
        <w:pStyle w:val="20"/>
        <w:numPr>
          <w:ilvl w:val="2"/>
          <w:numId w:val="11"/>
        </w:numPr>
        <w:rPr>
          <w:rFonts w:hint="eastAsia"/>
          <w:sz w:val="21"/>
          <w:szCs w:val="21"/>
        </w:rPr>
      </w:pPr>
      <w:r>
        <w:rPr>
          <w:rFonts w:hint="eastAsia"/>
          <w:sz w:val="21"/>
          <w:szCs w:val="21"/>
        </w:rPr>
        <w:t>变频调速装置应设有以下保护：过电压、过电流、欠电压、缺相保护、短路保护、超频保护、失速保护、变频器过载、电机过载保护、半导体器件的过热保护、瞬时停电保护等，并能联跳输入侧10KV开关。保护性能应符合国家有关标准规定。</w:t>
      </w:r>
    </w:p>
    <w:p w14:paraId="74EFA987">
      <w:pPr>
        <w:pStyle w:val="20"/>
        <w:numPr>
          <w:ilvl w:val="2"/>
          <w:numId w:val="11"/>
        </w:numPr>
        <w:rPr>
          <w:rFonts w:hint="eastAsia"/>
          <w:sz w:val="21"/>
          <w:szCs w:val="21"/>
          <w:highlight w:val="none"/>
        </w:rPr>
      </w:pPr>
      <w:r>
        <w:rPr>
          <w:rFonts w:hint="eastAsia"/>
          <w:sz w:val="21"/>
          <w:szCs w:val="21"/>
        </w:rPr>
        <w:t>变频调速装置应对旁路柜内的一次元件具有自动控制和电气闭锁功能；对于一拖一配置方</w:t>
      </w:r>
      <w:r>
        <w:rPr>
          <w:rFonts w:hint="eastAsia"/>
          <w:sz w:val="21"/>
          <w:szCs w:val="21"/>
          <w:highlight w:val="none"/>
        </w:rPr>
        <w:t>案所可能出现的所有运行方式都可通过对旁路柜内的一次元件进行手动或自动操作来实现，同时各一次元件间的互锁逻辑也由变频调速装置自身来完成。</w:t>
      </w:r>
    </w:p>
    <w:p w14:paraId="2BBC4E85">
      <w:pPr>
        <w:pStyle w:val="20"/>
        <w:numPr>
          <w:ilvl w:val="2"/>
          <w:numId w:val="11"/>
        </w:numPr>
        <w:rPr>
          <w:rFonts w:hint="eastAsia"/>
          <w:color w:val="auto"/>
          <w:sz w:val="21"/>
          <w:szCs w:val="21"/>
          <w:highlight w:val="none"/>
        </w:rPr>
      </w:pPr>
      <w:r>
        <w:rPr>
          <w:rFonts w:hint="eastAsia"/>
          <w:color w:val="auto"/>
          <w:sz w:val="21"/>
          <w:szCs w:val="21"/>
          <w:highlight w:val="none"/>
        </w:rPr>
        <w:t>变频调速装置的功率</w:t>
      </w:r>
      <w:r>
        <w:rPr>
          <w:rFonts w:hint="eastAsia"/>
          <w:color w:val="auto"/>
          <w:sz w:val="21"/>
          <w:szCs w:val="21"/>
          <w:highlight w:val="none"/>
          <w:lang w:val="en-US" w:eastAsia="zh-CN"/>
        </w:rPr>
        <w:t>模块单元</w:t>
      </w:r>
      <w:r>
        <w:rPr>
          <w:rFonts w:hint="eastAsia"/>
          <w:color w:val="auto"/>
          <w:sz w:val="21"/>
          <w:szCs w:val="21"/>
          <w:highlight w:val="none"/>
        </w:rPr>
        <w:t>、控制器等</w:t>
      </w:r>
      <w:r>
        <w:rPr>
          <w:rFonts w:hint="eastAsia"/>
          <w:color w:val="auto"/>
          <w:sz w:val="21"/>
          <w:szCs w:val="21"/>
          <w:highlight w:val="none"/>
          <w:lang w:val="en-US" w:eastAsia="zh-CN"/>
        </w:rPr>
        <w:t>核心部</w:t>
      </w:r>
      <w:r>
        <w:rPr>
          <w:rFonts w:hint="eastAsia"/>
          <w:color w:val="auto"/>
          <w:sz w:val="21"/>
          <w:szCs w:val="21"/>
          <w:highlight w:val="none"/>
        </w:rPr>
        <w:t>件</w:t>
      </w:r>
      <w:r>
        <w:rPr>
          <w:rFonts w:hint="eastAsia"/>
          <w:color w:val="auto"/>
          <w:sz w:val="21"/>
          <w:szCs w:val="21"/>
          <w:highlight w:val="none"/>
          <w:lang w:val="en-US" w:eastAsia="zh-CN"/>
        </w:rPr>
        <w:t>必须</w:t>
      </w:r>
      <w:r>
        <w:rPr>
          <w:rFonts w:hint="eastAsia"/>
          <w:color w:val="auto"/>
          <w:sz w:val="21"/>
          <w:szCs w:val="21"/>
          <w:highlight w:val="none"/>
        </w:rPr>
        <w:t>采用变频器厂家自主</w:t>
      </w:r>
      <w:r>
        <w:rPr>
          <w:rFonts w:hint="eastAsia"/>
          <w:color w:val="auto"/>
          <w:sz w:val="21"/>
          <w:szCs w:val="21"/>
          <w:highlight w:val="none"/>
          <w:lang w:val="en-US" w:eastAsia="zh-CN"/>
        </w:rPr>
        <w:t>产品</w:t>
      </w:r>
      <w:r>
        <w:rPr>
          <w:rFonts w:hint="eastAsia"/>
          <w:color w:val="auto"/>
          <w:sz w:val="21"/>
          <w:szCs w:val="21"/>
          <w:highlight w:val="none"/>
        </w:rPr>
        <w:t>，</w:t>
      </w:r>
      <w:r>
        <w:rPr>
          <w:rFonts w:hint="eastAsia"/>
          <w:color w:val="auto"/>
          <w:sz w:val="21"/>
          <w:szCs w:val="21"/>
          <w:highlight w:val="none"/>
          <w:lang w:val="en-US" w:eastAsia="zh-CN"/>
        </w:rPr>
        <w:t>其他外购</w:t>
      </w:r>
      <w:r>
        <w:rPr>
          <w:rFonts w:hint="eastAsia"/>
          <w:color w:val="auto"/>
          <w:sz w:val="21"/>
          <w:szCs w:val="21"/>
          <w:highlight w:val="none"/>
        </w:rPr>
        <w:t>第三方品牌</w:t>
      </w:r>
      <w:r>
        <w:rPr>
          <w:rFonts w:hint="eastAsia"/>
          <w:color w:val="auto"/>
          <w:sz w:val="21"/>
          <w:szCs w:val="21"/>
          <w:highlight w:val="none"/>
          <w:lang w:val="en-US" w:eastAsia="zh-CN"/>
        </w:rPr>
        <w:t>的备件必须经招标方确认</w:t>
      </w:r>
      <w:r>
        <w:rPr>
          <w:rFonts w:hint="eastAsia"/>
          <w:color w:val="auto"/>
          <w:sz w:val="21"/>
          <w:szCs w:val="21"/>
          <w:highlight w:val="none"/>
        </w:rPr>
        <w:t>。</w:t>
      </w:r>
    </w:p>
    <w:p w14:paraId="21692CCB">
      <w:pPr>
        <w:pStyle w:val="20"/>
        <w:numPr>
          <w:ilvl w:val="2"/>
          <w:numId w:val="11"/>
        </w:numPr>
        <w:rPr>
          <w:rFonts w:hint="eastAsia"/>
          <w:color w:val="auto"/>
          <w:sz w:val="21"/>
          <w:szCs w:val="21"/>
        </w:rPr>
      </w:pPr>
      <w:r>
        <w:rPr>
          <w:rFonts w:hint="eastAsia"/>
          <w:color w:val="auto"/>
          <w:sz w:val="21"/>
          <w:szCs w:val="21"/>
        </w:rPr>
        <w:t>变频调速装置应采用强迫风冷循环冷却方式，自带风扇、排风用轴流风机（如需）及排风管道（包括进风管道和排风管道），风机机外余压应足以克服排风通道阻力以将热风排出室外；</w:t>
      </w:r>
      <w:r>
        <w:rPr>
          <w:color w:val="auto"/>
          <w:sz w:val="21"/>
          <w:szCs w:val="21"/>
        </w:rPr>
        <w:t>风机电源与控制电源分开取电</w:t>
      </w:r>
      <w:r>
        <w:rPr>
          <w:rFonts w:hint="eastAsia"/>
          <w:color w:val="auto"/>
          <w:sz w:val="21"/>
          <w:szCs w:val="21"/>
        </w:rPr>
        <w:t>；风机报警信号应能远传到控制室</w:t>
      </w:r>
      <w:r>
        <w:rPr>
          <w:color w:val="auto"/>
          <w:sz w:val="21"/>
          <w:szCs w:val="21"/>
        </w:rPr>
        <w:t>；</w:t>
      </w:r>
      <w:r>
        <w:rPr>
          <w:rFonts w:hint="eastAsia"/>
          <w:color w:val="auto"/>
          <w:sz w:val="21"/>
          <w:szCs w:val="21"/>
        </w:rPr>
        <w:t>风机平均无故障时间应不小于变频调速装置本身，并应便于拆装。</w:t>
      </w:r>
    </w:p>
    <w:p w14:paraId="0A9557E3">
      <w:pPr>
        <w:pStyle w:val="20"/>
        <w:numPr>
          <w:ilvl w:val="2"/>
          <w:numId w:val="11"/>
        </w:numPr>
        <w:rPr>
          <w:rFonts w:hint="eastAsia"/>
          <w:color w:val="auto"/>
          <w:sz w:val="21"/>
          <w:szCs w:val="21"/>
        </w:rPr>
      </w:pPr>
      <w:r>
        <w:rPr>
          <w:rFonts w:hint="eastAsia"/>
          <w:color w:val="auto"/>
          <w:sz w:val="21"/>
          <w:szCs w:val="21"/>
        </w:rPr>
        <w:t>所有发热机柜排风口应设在机柜顶部，进风口设在机柜下部。</w:t>
      </w:r>
    </w:p>
    <w:p w14:paraId="156A19B2">
      <w:pPr>
        <w:pStyle w:val="20"/>
        <w:numPr>
          <w:ilvl w:val="2"/>
          <w:numId w:val="11"/>
        </w:numPr>
        <w:rPr>
          <w:rFonts w:hint="eastAsia"/>
          <w:color w:val="auto"/>
          <w:sz w:val="21"/>
          <w:szCs w:val="21"/>
        </w:rPr>
      </w:pPr>
      <w:r>
        <w:rPr>
          <w:rFonts w:hint="eastAsia"/>
          <w:color w:val="auto"/>
          <w:sz w:val="21"/>
          <w:szCs w:val="21"/>
        </w:rPr>
        <w:t>主要设计技术参数</w:t>
      </w:r>
    </w:p>
    <w:p w14:paraId="08BB0EBB">
      <w:pPr>
        <w:pStyle w:val="20"/>
        <w:numPr>
          <w:ilvl w:val="0"/>
          <w:numId w:val="0"/>
        </w:numPr>
        <w:ind w:leftChars="0" w:firstLine="420" w:firstLineChars="200"/>
        <w:rPr>
          <w:rFonts w:hint="eastAsia"/>
          <w:color w:val="auto"/>
          <w:sz w:val="21"/>
          <w:szCs w:val="21"/>
        </w:rPr>
      </w:pPr>
      <w:r>
        <w:rPr>
          <w:rFonts w:hint="eastAsia"/>
          <w:color w:val="auto"/>
          <w:sz w:val="21"/>
          <w:szCs w:val="21"/>
        </w:rPr>
        <w:t>厂区气象资料、工程地质资料、地震参数以及建筑场地类别详见总的部分；建筑物地面、楼面、屋面设计安装，检修活载应满足工艺要求和《建筑荷载规范》的要求。</w:t>
      </w:r>
    </w:p>
    <w:p w14:paraId="62508753">
      <w:pPr>
        <w:pStyle w:val="20"/>
        <w:numPr>
          <w:ilvl w:val="0"/>
          <w:numId w:val="0"/>
        </w:numPr>
        <w:ind w:leftChars="0" w:firstLine="420" w:firstLineChars="200"/>
        <w:rPr>
          <w:rFonts w:hint="eastAsia"/>
          <w:color w:val="auto"/>
          <w:sz w:val="21"/>
          <w:szCs w:val="21"/>
        </w:rPr>
      </w:pPr>
      <w:r>
        <w:rPr>
          <w:rFonts w:hint="eastAsia"/>
          <w:color w:val="auto"/>
          <w:sz w:val="21"/>
          <w:szCs w:val="21"/>
        </w:rPr>
        <w:t>土建结构所需水泥、骨料、砖、钢材、型钢、钢筋、焊条、螺栓、油漆等材料均应遵守国家和行业标准；所有钢筋混凝土结构构件混凝土等级不应低于 C30；所有地下沟、坑、池的混凝土等级不应低于 C30，防水混凝土抗渗等级不低于 P6；</w:t>
      </w:r>
    </w:p>
    <w:p w14:paraId="3EDD6EFD">
      <w:pPr>
        <w:pStyle w:val="20"/>
        <w:numPr>
          <w:ilvl w:val="2"/>
          <w:numId w:val="11"/>
        </w:numPr>
        <w:rPr>
          <w:rFonts w:hint="eastAsia"/>
          <w:color w:val="auto"/>
          <w:sz w:val="21"/>
          <w:szCs w:val="21"/>
        </w:rPr>
      </w:pPr>
      <w:r>
        <w:rPr>
          <w:rFonts w:hint="eastAsia"/>
          <w:color w:val="auto"/>
          <w:sz w:val="21"/>
          <w:szCs w:val="21"/>
        </w:rPr>
        <w:t>预制仓技术要求</w:t>
      </w:r>
    </w:p>
    <w:p w14:paraId="7F4927EC">
      <w:pPr>
        <w:pStyle w:val="20"/>
        <w:numPr>
          <w:ilvl w:val="0"/>
          <w:numId w:val="0"/>
        </w:numPr>
        <w:ind w:leftChars="0" w:firstLine="420" w:firstLineChars="200"/>
        <w:rPr>
          <w:rFonts w:hint="eastAsia"/>
          <w:color w:val="auto"/>
          <w:sz w:val="21"/>
          <w:szCs w:val="21"/>
        </w:rPr>
      </w:pPr>
      <w:r>
        <w:rPr>
          <w:rFonts w:hint="eastAsia"/>
          <w:color w:val="auto"/>
          <w:sz w:val="21"/>
          <w:szCs w:val="21"/>
        </w:rPr>
        <w:t>预制舱内必须设置专用的通风冷却通道及空水冷热交换器冷却盘管（水冷却器必须与变频器室隔离，防止水冷却器漏水，水漏在电气设备上），确保变频器散发的热量能够强制送出（出具核算数据报告），有效提高冷却效率。变频器室环境温湿度具备远传上送至 DCS的要求，防尘标准必须满足高压变压频器的运行条件。</w:t>
      </w:r>
      <w:r>
        <w:rPr>
          <w:rFonts w:hint="eastAsia"/>
          <w:color w:val="000000"/>
          <w:sz w:val="21"/>
          <w:szCs w:val="21"/>
          <w:highlight w:val="none"/>
        </w:rPr>
        <w:t>水冷系统（含冷却机组、水冷却盘管、水管路、阀门等）所有带压水系统，均应与变频设备舱隔离，禁止布置在变频设备舱内。水冷系统的主设备及阀门应尽量户内布置，做好充分的冬季防冻措施。</w:t>
      </w:r>
      <w:r>
        <w:rPr>
          <w:rFonts w:hint="eastAsia"/>
          <w:color w:val="auto"/>
          <w:sz w:val="21"/>
          <w:szCs w:val="21"/>
        </w:rPr>
        <w:t xml:space="preserve">需满足： </w:t>
      </w:r>
    </w:p>
    <w:p w14:paraId="4C8E92D2">
      <w:pPr>
        <w:pStyle w:val="20"/>
        <w:numPr>
          <w:ilvl w:val="0"/>
          <w:numId w:val="0"/>
        </w:numPr>
        <w:ind w:leftChars="0" w:firstLine="420" w:firstLineChars="200"/>
        <w:rPr>
          <w:rFonts w:hint="eastAsia"/>
          <w:color w:val="auto"/>
          <w:sz w:val="21"/>
          <w:szCs w:val="21"/>
        </w:rPr>
      </w:pPr>
      <w:r>
        <w:rPr>
          <w:rFonts w:hint="eastAsia"/>
          <w:color w:val="auto"/>
          <w:sz w:val="21"/>
          <w:szCs w:val="21"/>
        </w:rPr>
        <w:t xml:space="preserve">1）预制舱应满足防火要求，最少设置两个出入通道。 </w:t>
      </w:r>
    </w:p>
    <w:p w14:paraId="5ECE2A45">
      <w:pPr>
        <w:pStyle w:val="20"/>
        <w:numPr>
          <w:ilvl w:val="0"/>
          <w:numId w:val="0"/>
        </w:numPr>
        <w:ind w:leftChars="0" w:firstLine="420" w:firstLineChars="200"/>
        <w:rPr>
          <w:rFonts w:hint="eastAsia"/>
          <w:color w:val="auto"/>
          <w:sz w:val="21"/>
          <w:szCs w:val="21"/>
        </w:rPr>
      </w:pPr>
      <w:r>
        <w:rPr>
          <w:rFonts w:hint="eastAsia"/>
          <w:color w:val="auto"/>
          <w:sz w:val="21"/>
          <w:szCs w:val="21"/>
        </w:rPr>
        <w:t xml:space="preserve">2）不得采用彩钢板房形式。 </w:t>
      </w:r>
    </w:p>
    <w:p w14:paraId="6E76B8B1">
      <w:pPr>
        <w:pStyle w:val="20"/>
        <w:numPr>
          <w:ilvl w:val="0"/>
          <w:numId w:val="0"/>
        </w:numPr>
        <w:ind w:leftChars="0" w:firstLine="420" w:firstLineChars="200"/>
        <w:rPr>
          <w:rFonts w:hint="eastAsia"/>
          <w:color w:val="auto"/>
          <w:sz w:val="21"/>
          <w:szCs w:val="21"/>
        </w:rPr>
      </w:pPr>
      <w:r>
        <w:rPr>
          <w:rFonts w:hint="eastAsia"/>
          <w:color w:val="auto"/>
          <w:sz w:val="21"/>
          <w:szCs w:val="21"/>
        </w:rPr>
        <w:t xml:space="preserve">3）预制舱防护等级不低于 IP54。要求具备防腐、隔热、防灰尘、防水、防潮性能，本体及箱体门应可靠接地，接地电阻不大于 4 欧姆，且与大接地网相连接。 </w:t>
      </w:r>
    </w:p>
    <w:p w14:paraId="1D183EA7">
      <w:pPr>
        <w:pStyle w:val="20"/>
        <w:numPr>
          <w:ilvl w:val="0"/>
          <w:numId w:val="0"/>
        </w:numPr>
        <w:ind w:leftChars="0" w:firstLine="420" w:firstLineChars="200"/>
        <w:rPr>
          <w:rFonts w:hint="eastAsia"/>
          <w:color w:val="auto"/>
          <w:sz w:val="21"/>
          <w:szCs w:val="21"/>
        </w:rPr>
      </w:pPr>
      <w:r>
        <w:rPr>
          <w:rFonts w:hint="eastAsia"/>
          <w:color w:val="auto"/>
          <w:sz w:val="21"/>
          <w:szCs w:val="21"/>
        </w:rPr>
        <w:t xml:space="preserve">4）柜体采样冷轧板、阻燃型隔热棉、灭火器、照明、基础接地均应满足相关标准要求。 </w:t>
      </w:r>
    </w:p>
    <w:p w14:paraId="4DA717B4">
      <w:pPr>
        <w:pStyle w:val="20"/>
        <w:numPr>
          <w:ilvl w:val="0"/>
          <w:numId w:val="0"/>
        </w:numPr>
        <w:ind w:leftChars="0" w:firstLine="420" w:firstLineChars="200"/>
        <w:rPr>
          <w:rFonts w:hint="eastAsia"/>
          <w:color w:val="auto"/>
          <w:sz w:val="21"/>
          <w:szCs w:val="21"/>
        </w:rPr>
      </w:pPr>
      <w:r>
        <w:rPr>
          <w:rFonts w:hint="eastAsia"/>
          <w:color w:val="auto"/>
          <w:sz w:val="21"/>
          <w:szCs w:val="21"/>
        </w:rPr>
        <w:t>5）预制舱内设置电源控制箱，满足仓内照明、仓内通风及空水冷空调电源取用。</w:t>
      </w:r>
    </w:p>
    <w:p w14:paraId="7EB40EC6">
      <w:pPr>
        <w:pStyle w:val="20"/>
        <w:numPr>
          <w:ilvl w:val="2"/>
          <w:numId w:val="11"/>
        </w:numPr>
        <w:rPr>
          <w:rFonts w:hint="eastAsia"/>
          <w:color w:val="auto"/>
          <w:sz w:val="21"/>
          <w:szCs w:val="21"/>
        </w:rPr>
      </w:pPr>
      <w:r>
        <w:rPr>
          <w:rFonts w:hint="eastAsia"/>
          <w:color w:val="auto"/>
          <w:sz w:val="21"/>
          <w:szCs w:val="21"/>
        </w:rPr>
        <w:t>通风、冷却系统</w:t>
      </w:r>
    </w:p>
    <w:p w14:paraId="50FAF498">
      <w:pPr>
        <w:pStyle w:val="20"/>
        <w:numPr>
          <w:ilvl w:val="0"/>
          <w:numId w:val="0"/>
        </w:numPr>
        <w:ind w:firstLine="420" w:firstLineChars="200"/>
        <w:rPr>
          <w:rFonts w:hint="eastAsia"/>
          <w:color w:val="auto"/>
          <w:sz w:val="21"/>
          <w:szCs w:val="21"/>
          <w:highlight w:val="none"/>
        </w:rPr>
      </w:pPr>
      <w:r>
        <w:rPr>
          <w:rFonts w:hint="eastAsia"/>
          <w:color w:val="auto"/>
          <w:sz w:val="21"/>
          <w:szCs w:val="21"/>
          <w:highlight w:val="none"/>
        </w:rPr>
        <w:t>本工程循环水泵变频装置室内降温，采用空水冷却机组与备用空调系统，其包含的冷却设备、风管、水管、阀门、控制系统、控制箱、保温材料、安装附件等，均由投标方负责设计、供货、安装及调试。</w:t>
      </w:r>
    </w:p>
    <w:p w14:paraId="45CEDA55">
      <w:pPr>
        <w:pStyle w:val="20"/>
        <w:numPr>
          <w:ilvl w:val="0"/>
          <w:numId w:val="0"/>
        </w:numPr>
        <w:ind w:firstLine="420" w:firstLineChars="200"/>
        <w:rPr>
          <w:rFonts w:hint="eastAsia"/>
          <w:color w:val="auto"/>
          <w:sz w:val="21"/>
          <w:szCs w:val="21"/>
          <w:highlight w:val="none"/>
        </w:rPr>
      </w:pPr>
      <w:r>
        <w:rPr>
          <w:rFonts w:hint="eastAsia"/>
          <w:color w:val="auto"/>
          <w:sz w:val="21"/>
          <w:szCs w:val="21"/>
          <w:highlight w:val="none"/>
        </w:rPr>
        <w:t>降温通风系统要求</w:t>
      </w:r>
    </w:p>
    <w:p w14:paraId="2C4737ED">
      <w:pPr>
        <w:pStyle w:val="20"/>
        <w:numPr>
          <w:ilvl w:val="0"/>
          <w:numId w:val="0"/>
        </w:numPr>
        <w:ind w:firstLine="420" w:firstLineChars="200"/>
        <w:rPr>
          <w:rFonts w:hint="eastAsia"/>
          <w:color w:val="auto"/>
          <w:sz w:val="21"/>
          <w:szCs w:val="21"/>
          <w:highlight w:val="none"/>
        </w:rPr>
      </w:pPr>
      <w:r>
        <w:rPr>
          <w:rFonts w:hint="eastAsia"/>
          <w:color w:val="auto"/>
          <w:sz w:val="21"/>
          <w:szCs w:val="21"/>
          <w:highlight w:val="none"/>
        </w:rPr>
        <w:t xml:space="preserve">1)针对变频器运行特性专门设计，保证不因设备故障影响变频器安全运行。 </w:t>
      </w:r>
    </w:p>
    <w:p w14:paraId="3B799A28">
      <w:pPr>
        <w:pStyle w:val="20"/>
        <w:numPr>
          <w:ilvl w:val="0"/>
          <w:numId w:val="0"/>
        </w:numPr>
        <w:ind w:firstLine="420" w:firstLineChars="200"/>
        <w:rPr>
          <w:rFonts w:hint="eastAsia"/>
          <w:color w:val="auto"/>
          <w:sz w:val="21"/>
          <w:szCs w:val="21"/>
          <w:highlight w:val="none"/>
        </w:rPr>
      </w:pPr>
      <w:r>
        <w:rPr>
          <w:rFonts w:hint="eastAsia"/>
          <w:color w:val="auto"/>
          <w:sz w:val="21"/>
          <w:szCs w:val="21"/>
          <w:highlight w:val="none"/>
        </w:rPr>
        <w:t>2)冷却设备设置有独立电源，单台冷却设备故障情况下不影响变频器正常运行。 备用空调系统制冷量应与空水冷却设备制冷量相等，保证空水冷却设备发生故障时，备用空调系统能持续保持室内温度。</w:t>
      </w:r>
    </w:p>
    <w:p w14:paraId="58C0ED7F">
      <w:pPr>
        <w:pStyle w:val="20"/>
        <w:numPr>
          <w:ilvl w:val="0"/>
          <w:numId w:val="0"/>
        </w:numPr>
        <w:ind w:firstLine="420" w:firstLineChars="200"/>
        <w:rPr>
          <w:rFonts w:hint="eastAsia"/>
          <w:color w:val="auto"/>
          <w:sz w:val="21"/>
          <w:szCs w:val="21"/>
          <w:highlight w:val="none"/>
        </w:rPr>
      </w:pPr>
      <w:r>
        <w:rPr>
          <w:rFonts w:hint="eastAsia"/>
          <w:color w:val="auto"/>
          <w:sz w:val="21"/>
          <w:szCs w:val="21"/>
          <w:highlight w:val="none"/>
        </w:rPr>
        <w:t xml:space="preserve">3)冷却设备控制系统可实现自动与手动调节温度及各种其他运行参数，机组正常运行后，室内温度≤30℃。 </w:t>
      </w:r>
    </w:p>
    <w:p w14:paraId="580C042F">
      <w:pPr>
        <w:pStyle w:val="20"/>
        <w:numPr>
          <w:ilvl w:val="0"/>
          <w:numId w:val="0"/>
        </w:numPr>
        <w:ind w:firstLine="420" w:firstLineChars="200"/>
        <w:rPr>
          <w:rFonts w:hint="eastAsia"/>
          <w:color w:val="auto"/>
          <w:sz w:val="21"/>
          <w:szCs w:val="21"/>
          <w:highlight w:val="none"/>
        </w:rPr>
      </w:pPr>
      <w:r>
        <w:rPr>
          <w:rFonts w:hint="eastAsia"/>
          <w:color w:val="auto"/>
          <w:sz w:val="21"/>
          <w:szCs w:val="21"/>
          <w:highlight w:val="none"/>
        </w:rPr>
        <w:t xml:space="preserve">4)系统需有可靠的保护，设有完善的压差式流量开关缺水保护、自动启停和掉电记忆功能，具备故障自动检测功能，还设有过载、过流、欠压、高、低压保护，性能需安全、可靠。 </w:t>
      </w:r>
    </w:p>
    <w:p w14:paraId="652FABF8">
      <w:pPr>
        <w:pStyle w:val="20"/>
        <w:numPr>
          <w:ilvl w:val="0"/>
          <w:numId w:val="0"/>
        </w:numPr>
        <w:ind w:firstLine="420" w:firstLineChars="200"/>
        <w:rPr>
          <w:rFonts w:hint="eastAsia"/>
          <w:color w:val="auto"/>
          <w:sz w:val="21"/>
          <w:szCs w:val="21"/>
          <w:highlight w:val="none"/>
        </w:rPr>
      </w:pPr>
      <w:r>
        <w:rPr>
          <w:rFonts w:hint="eastAsia"/>
          <w:color w:val="auto"/>
          <w:sz w:val="21"/>
          <w:szCs w:val="21"/>
          <w:highlight w:val="none"/>
        </w:rPr>
        <w:t xml:space="preserve">5)冷却设备具备上传RS-485通讯接口及硬接线信号，能够与变频器/中控（DCS）进行通讯，监控冷却设备运行工况参数。可监测变频器预制舱内温度、冷却水泵进/出风温度、进/出水温度和压差、湿度等参数。  </w:t>
      </w:r>
    </w:p>
    <w:p w14:paraId="06282DCA">
      <w:pPr>
        <w:pStyle w:val="20"/>
        <w:numPr>
          <w:ilvl w:val="0"/>
          <w:numId w:val="0"/>
        </w:numPr>
        <w:ind w:firstLine="420" w:firstLineChars="200"/>
        <w:rPr>
          <w:color w:val="auto"/>
          <w:sz w:val="21"/>
          <w:szCs w:val="21"/>
          <w:highlight w:val="none"/>
        </w:rPr>
      </w:pPr>
      <w:r>
        <w:rPr>
          <w:rFonts w:hint="eastAsia"/>
          <w:color w:val="auto"/>
          <w:sz w:val="21"/>
          <w:szCs w:val="21"/>
          <w:highlight w:val="none"/>
        </w:rPr>
        <w:t xml:space="preserve">6)冷却设备运行稳定、维护量低、降温效果好、清洗方便。 </w:t>
      </w:r>
    </w:p>
    <w:p w14:paraId="00779EA5">
      <w:pPr>
        <w:numPr>
          <w:ilvl w:val="0"/>
          <w:numId w:val="0"/>
        </w:numPr>
        <w:snapToGrid w:val="0"/>
        <w:spacing w:line="360" w:lineRule="auto"/>
        <w:rPr>
          <w:color w:val="auto"/>
          <w:sz w:val="24"/>
          <w:highlight w:val="none"/>
        </w:rPr>
      </w:pPr>
      <w:r>
        <w:rPr>
          <w:color w:val="auto"/>
          <w:szCs w:val="21"/>
          <w:highlight w:val="none"/>
        </w:rPr>
        <w:t>7) 冷却设备的设计、制造应满足（但不限于）以下规范：</w:t>
      </w:r>
      <w:r>
        <w:rPr>
          <w:rFonts w:hint="eastAsia"/>
          <w:color w:val="auto"/>
          <w:szCs w:val="21"/>
          <w:highlight w:val="none"/>
        </w:rPr>
        <w:t>G</w:t>
      </w:r>
      <w:r>
        <w:rPr>
          <w:color w:val="auto"/>
          <w:szCs w:val="21"/>
          <w:highlight w:val="none"/>
        </w:rPr>
        <w:t>B/T 14294-2008《组合式空调机组》、</w:t>
      </w:r>
      <w:r>
        <w:rPr>
          <w:color w:val="auto"/>
          <w:sz w:val="21"/>
          <w:szCs w:val="21"/>
          <w:highlight w:val="none"/>
        </w:rPr>
        <w:t>GB/T 14296-2008《空气冷却器与空气加热器》、JB/T 10477-2016《制冷空调净化设备的箱体器件》、GB/T 14295-20</w:t>
      </w:r>
      <w:r>
        <w:rPr>
          <w:color w:val="auto"/>
          <w:szCs w:val="21"/>
          <w:highlight w:val="none"/>
        </w:rPr>
        <w:t>19</w:t>
      </w:r>
      <w:r>
        <w:rPr>
          <w:color w:val="auto"/>
          <w:sz w:val="21"/>
          <w:szCs w:val="21"/>
          <w:highlight w:val="none"/>
        </w:rPr>
        <w:t>《空气过滤器》、GB10080-2001《空调用通风机安全要求》</w:t>
      </w:r>
      <w:r>
        <w:rPr>
          <w:color w:val="auto"/>
          <w:szCs w:val="21"/>
          <w:highlight w:val="none"/>
        </w:rPr>
        <w:t>。</w:t>
      </w:r>
    </w:p>
    <w:p w14:paraId="077301C0">
      <w:pPr>
        <w:pStyle w:val="20"/>
        <w:numPr>
          <w:ilvl w:val="0"/>
          <w:numId w:val="0"/>
        </w:numPr>
        <w:ind w:firstLine="420" w:firstLineChars="200"/>
        <w:rPr>
          <w:rFonts w:hint="eastAsia"/>
          <w:color w:val="auto"/>
          <w:sz w:val="21"/>
          <w:szCs w:val="21"/>
          <w:highlight w:val="none"/>
        </w:rPr>
      </w:pPr>
      <w:r>
        <w:rPr>
          <w:color w:val="auto"/>
          <w:sz w:val="21"/>
          <w:szCs w:val="21"/>
          <w:highlight w:val="none"/>
        </w:rPr>
        <w:t xml:space="preserve">8 </w:t>
      </w:r>
      <w:r>
        <w:rPr>
          <w:rFonts w:hint="eastAsia"/>
          <w:color w:val="auto"/>
          <w:sz w:val="21"/>
          <w:szCs w:val="21"/>
          <w:highlight w:val="none"/>
        </w:rPr>
        <w:t>冷却</w:t>
      </w:r>
      <w:r>
        <w:rPr>
          <w:color w:val="auto"/>
          <w:sz w:val="21"/>
          <w:szCs w:val="21"/>
          <w:highlight w:val="none"/>
        </w:rPr>
        <w:t>设备的送风量，不应小于所有运行变频柜的总排风量。冷却设备的送风压头应足够满足变频设备间的送风所需。</w:t>
      </w:r>
    </w:p>
    <w:p w14:paraId="36B4BA9C">
      <w:pPr>
        <w:pStyle w:val="20"/>
        <w:numPr>
          <w:ilvl w:val="0"/>
          <w:numId w:val="0"/>
        </w:numPr>
        <w:ind w:firstLine="420" w:firstLineChars="200"/>
        <w:rPr>
          <w:color w:val="auto"/>
          <w:sz w:val="21"/>
          <w:szCs w:val="21"/>
          <w:highlight w:val="none"/>
        </w:rPr>
      </w:pPr>
      <w:r>
        <w:rPr>
          <w:color w:val="auto"/>
          <w:sz w:val="21"/>
          <w:szCs w:val="21"/>
          <w:highlight w:val="none"/>
        </w:rPr>
        <w:t>9</w:t>
      </w:r>
      <w:r>
        <w:rPr>
          <w:rFonts w:hint="eastAsia"/>
          <w:color w:val="auto"/>
          <w:sz w:val="21"/>
          <w:szCs w:val="21"/>
          <w:highlight w:val="none"/>
        </w:rPr>
        <w:t>)</w:t>
      </w:r>
      <w:r>
        <w:rPr>
          <w:color w:val="auto"/>
          <w:sz w:val="21"/>
          <w:szCs w:val="21"/>
          <w:highlight w:val="none"/>
        </w:rPr>
        <w:t xml:space="preserve"> （请业主明确：空水冷机组的冷却水源的基本水质、水压、水温等主要参数，并要求投标设备应满足在此水源条件下能正常运行。）</w:t>
      </w:r>
    </w:p>
    <w:p w14:paraId="6E692022">
      <w:pPr>
        <w:pStyle w:val="20"/>
        <w:numPr>
          <w:ilvl w:val="0"/>
          <w:numId w:val="0"/>
        </w:numPr>
        <w:ind w:firstLine="420" w:firstLineChars="200"/>
        <w:rPr>
          <w:rFonts w:hint="eastAsia"/>
          <w:color w:val="auto"/>
          <w:sz w:val="21"/>
          <w:szCs w:val="21"/>
          <w:highlight w:val="none"/>
        </w:rPr>
      </w:pPr>
      <w:r>
        <w:rPr>
          <w:color w:val="auto"/>
          <w:sz w:val="21"/>
          <w:szCs w:val="21"/>
          <w:highlight w:val="none"/>
        </w:rPr>
        <w:t>10) 若空水冷系统</w:t>
      </w:r>
      <w:r>
        <w:rPr>
          <w:rFonts w:hint="eastAsia"/>
          <w:color w:val="auto"/>
          <w:sz w:val="21"/>
          <w:szCs w:val="21"/>
          <w:highlight w:val="none"/>
        </w:rPr>
        <w:t>户外布置时，其（包含但不限于）冷却机组、水冷却盘管、水管路、阀门、连接的风管等均应配置不燃型保温材料，保温材料导热系数不小于0</w:t>
      </w:r>
      <w:r>
        <w:rPr>
          <w:color w:val="auto"/>
          <w:sz w:val="21"/>
          <w:szCs w:val="21"/>
          <w:highlight w:val="none"/>
        </w:rPr>
        <w:t>.034W/m</w:t>
      </w:r>
      <w:r>
        <w:rPr>
          <w:rFonts w:hint="eastAsia"/>
          <w:color w:val="auto"/>
          <w:sz w:val="21"/>
          <w:szCs w:val="21"/>
          <w:highlight w:val="none"/>
        </w:rPr>
        <w:t>·℃，保温厚度不小于5</w:t>
      </w:r>
      <w:r>
        <w:rPr>
          <w:color w:val="auto"/>
          <w:sz w:val="21"/>
          <w:szCs w:val="21"/>
          <w:highlight w:val="none"/>
        </w:rPr>
        <w:t>0mm。</w:t>
      </w:r>
      <w:r>
        <w:rPr>
          <w:rFonts w:hint="eastAsia"/>
          <w:color w:val="auto"/>
          <w:sz w:val="21"/>
          <w:szCs w:val="21"/>
          <w:highlight w:val="none"/>
        </w:rPr>
        <w:t>设备、电机、仪表及各类附属设施应满足相应的户外防护等级要求。</w:t>
      </w:r>
    </w:p>
    <w:p w14:paraId="75673F28">
      <w:pPr>
        <w:pStyle w:val="20"/>
        <w:numPr>
          <w:ilvl w:val="0"/>
          <w:numId w:val="0"/>
        </w:numPr>
        <w:ind w:firstLine="420" w:firstLineChars="200"/>
        <w:rPr>
          <w:rFonts w:hint="eastAsia"/>
          <w:sz w:val="21"/>
          <w:szCs w:val="21"/>
        </w:rPr>
      </w:pPr>
      <w:r>
        <w:rPr>
          <w:color w:val="auto"/>
          <w:sz w:val="21"/>
          <w:szCs w:val="21"/>
          <w:highlight w:val="none"/>
        </w:rPr>
        <w:t>11) 空水冷机组附近应预留土建排水条件，保证检修排污水能有效收集排放至收集点。</w:t>
      </w:r>
    </w:p>
    <w:p w14:paraId="70E29D19">
      <w:pPr>
        <w:pStyle w:val="20"/>
        <w:numPr>
          <w:ilvl w:val="2"/>
          <w:numId w:val="11"/>
        </w:numPr>
        <w:rPr>
          <w:rFonts w:hint="eastAsia"/>
          <w:sz w:val="21"/>
          <w:szCs w:val="21"/>
        </w:rPr>
      </w:pPr>
      <w:r>
        <w:rPr>
          <w:rFonts w:hint="eastAsia"/>
          <w:sz w:val="21"/>
          <w:szCs w:val="21"/>
        </w:rPr>
        <w:t>变频调速装置的机柜外壳防护等级应不低于IP4x。机柜内元器件的安装应整齐美观，应</w:t>
      </w:r>
    </w:p>
    <w:p w14:paraId="68DE981F">
      <w:pPr>
        <w:pStyle w:val="20"/>
        <w:numPr>
          <w:ilvl w:val="0"/>
          <w:numId w:val="0"/>
        </w:numPr>
        <w:ind w:leftChars="0"/>
        <w:rPr>
          <w:rFonts w:hint="eastAsia"/>
          <w:sz w:val="21"/>
          <w:szCs w:val="21"/>
        </w:rPr>
      </w:pPr>
      <w:r>
        <w:rPr>
          <w:rFonts w:hint="eastAsia"/>
          <w:sz w:val="21"/>
          <w:szCs w:val="21"/>
        </w:rPr>
        <w:t>充分考虑散热要求及与相邻元件之间的间隔距离，并应充分考虑电缆的引接方便。投标方提供的电气柜内的接线端子应提供15%的余量，接线端子应采用弹簧压接端子，以保证接线的可靠性。机柜</w:t>
      </w:r>
      <w:r>
        <w:rPr>
          <w:rFonts w:hAnsi="Arial"/>
          <w:sz w:val="21"/>
          <w:szCs w:val="21"/>
        </w:rPr>
        <w:t>下部需做防水防潮处理</w:t>
      </w:r>
      <w:r>
        <w:rPr>
          <w:rFonts w:hint="eastAsia" w:hAnsi="Arial"/>
          <w:sz w:val="21"/>
          <w:szCs w:val="21"/>
        </w:rPr>
        <w:t>。</w:t>
      </w:r>
    </w:p>
    <w:p w14:paraId="6956A37A">
      <w:pPr>
        <w:pStyle w:val="20"/>
        <w:numPr>
          <w:ilvl w:val="2"/>
          <w:numId w:val="11"/>
        </w:numPr>
        <w:rPr>
          <w:rFonts w:hint="eastAsia"/>
          <w:sz w:val="21"/>
          <w:szCs w:val="21"/>
        </w:rPr>
      </w:pPr>
      <w:r>
        <w:rPr>
          <w:rFonts w:hint="eastAsia"/>
          <w:sz w:val="21"/>
          <w:szCs w:val="21"/>
        </w:rPr>
        <w:t>投标方应说明：</w:t>
      </w:r>
    </w:p>
    <w:p w14:paraId="41230626">
      <w:pPr>
        <w:pStyle w:val="20"/>
        <w:numPr>
          <w:ilvl w:val="0"/>
          <w:numId w:val="0"/>
        </w:numPr>
        <w:ind w:left="600"/>
        <w:rPr>
          <w:rFonts w:hint="eastAsia"/>
          <w:sz w:val="21"/>
          <w:szCs w:val="21"/>
        </w:rPr>
      </w:pPr>
      <w:r>
        <w:rPr>
          <w:rFonts w:hint="eastAsia"/>
          <w:sz w:val="21"/>
          <w:szCs w:val="21"/>
        </w:rPr>
        <w:t>1）当10KV母线上电动机成组起动时，对变频器的影响；</w:t>
      </w:r>
    </w:p>
    <w:p w14:paraId="1CCB0790">
      <w:pPr>
        <w:pStyle w:val="20"/>
        <w:numPr>
          <w:ilvl w:val="0"/>
          <w:numId w:val="0"/>
        </w:numPr>
        <w:ind w:left="600"/>
        <w:rPr>
          <w:rFonts w:hint="eastAsia"/>
          <w:sz w:val="21"/>
          <w:szCs w:val="21"/>
        </w:rPr>
      </w:pPr>
      <w:r>
        <w:rPr>
          <w:rFonts w:hint="eastAsia"/>
          <w:sz w:val="21"/>
          <w:szCs w:val="21"/>
        </w:rPr>
        <w:t>2）当10KV母线上最大一台电动机起动时，对变频器的影响。</w:t>
      </w:r>
    </w:p>
    <w:p w14:paraId="06940D08">
      <w:pPr>
        <w:pStyle w:val="20"/>
        <w:numPr>
          <w:ilvl w:val="2"/>
          <w:numId w:val="11"/>
        </w:numPr>
        <w:rPr>
          <w:rFonts w:hint="eastAsia"/>
          <w:sz w:val="21"/>
          <w:szCs w:val="21"/>
        </w:rPr>
      </w:pPr>
      <w:r>
        <w:rPr>
          <w:rFonts w:hint="eastAsia"/>
          <w:sz w:val="21"/>
          <w:szCs w:val="21"/>
        </w:rPr>
        <w:t>变频器对于电源频率波动需要有较强的适应能力，输入频率50Hz，在－10%～＋10%范围内波动时，对变频器不得有任何影响。</w:t>
      </w:r>
    </w:p>
    <w:p w14:paraId="3E13E3DA">
      <w:pPr>
        <w:pStyle w:val="20"/>
        <w:numPr>
          <w:ilvl w:val="2"/>
          <w:numId w:val="11"/>
        </w:numPr>
        <w:rPr>
          <w:rFonts w:hint="eastAsia"/>
          <w:sz w:val="21"/>
          <w:szCs w:val="21"/>
        </w:rPr>
      </w:pPr>
      <w:r>
        <w:rPr>
          <w:rFonts w:hint="eastAsia"/>
          <w:sz w:val="21"/>
          <w:szCs w:val="21"/>
        </w:rPr>
        <w:t>变频器需配置有通讯接口，通讯协议Profibus-DP。</w:t>
      </w:r>
    </w:p>
    <w:p w14:paraId="10744717">
      <w:pPr>
        <w:pStyle w:val="20"/>
        <w:numPr>
          <w:ilvl w:val="2"/>
          <w:numId w:val="11"/>
        </w:numPr>
        <w:rPr>
          <w:rFonts w:hint="eastAsia"/>
          <w:sz w:val="21"/>
          <w:szCs w:val="21"/>
        </w:rPr>
      </w:pPr>
      <w:r>
        <w:rPr>
          <w:rFonts w:hint="eastAsia"/>
          <w:sz w:val="21"/>
          <w:szCs w:val="21"/>
        </w:rPr>
        <w:t>变频器自带的多脉冲干式移相变压器必须为该变频器专用产品，不得临时采购通用型变压器与其搭配使用。该变压器的绝缘等级为H级，与变频器其它柜体一体式设计、一体式安装。</w:t>
      </w:r>
    </w:p>
    <w:p w14:paraId="02D0B418">
      <w:pPr>
        <w:pStyle w:val="20"/>
        <w:numPr>
          <w:ilvl w:val="2"/>
          <w:numId w:val="11"/>
        </w:numPr>
        <w:rPr>
          <w:rFonts w:hint="eastAsia"/>
          <w:color w:val="auto"/>
          <w:sz w:val="21"/>
          <w:szCs w:val="21"/>
          <w:highlight w:val="none"/>
        </w:rPr>
      </w:pPr>
      <w:r>
        <w:rPr>
          <w:rFonts w:hint="eastAsia"/>
          <w:sz w:val="21"/>
          <w:szCs w:val="21"/>
        </w:rPr>
        <w:t>变频器系统的旁路柜必须为变频器原厂</w:t>
      </w:r>
      <w:r>
        <w:rPr>
          <w:rFonts w:hint="eastAsia"/>
          <w:sz w:val="21"/>
          <w:szCs w:val="21"/>
          <w:lang w:val="en-US" w:eastAsia="zh-CN"/>
        </w:rPr>
        <w:t>配套</w:t>
      </w:r>
      <w:r>
        <w:rPr>
          <w:rFonts w:hint="eastAsia"/>
          <w:sz w:val="21"/>
          <w:szCs w:val="21"/>
        </w:rPr>
        <w:t>产品，</w:t>
      </w:r>
      <w:r>
        <w:rPr>
          <w:rFonts w:hint="eastAsia"/>
          <w:sz w:val="21"/>
          <w:szCs w:val="21"/>
          <w:lang w:val="en-US" w:eastAsia="zh-CN"/>
        </w:rPr>
        <w:t>旁路柜</w:t>
      </w:r>
      <w:r>
        <w:rPr>
          <w:rFonts w:hint="eastAsia"/>
          <w:sz w:val="21"/>
          <w:szCs w:val="21"/>
        </w:rPr>
        <w:t>的高压</w:t>
      </w:r>
      <w:r>
        <w:rPr>
          <w:rFonts w:hint="eastAsia"/>
          <w:sz w:val="21"/>
          <w:szCs w:val="21"/>
          <w:lang w:val="en-US" w:eastAsia="zh-CN"/>
        </w:rPr>
        <w:t>断路器、</w:t>
      </w:r>
      <w:r>
        <w:rPr>
          <w:rFonts w:hint="eastAsia"/>
          <w:sz w:val="21"/>
          <w:szCs w:val="21"/>
        </w:rPr>
        <w:t>隔离开关采用</w:t>
      </w:r>
      <w:r>
        <w:rPr>
          <w:rFonts w:hint="eastAsia"/>
          <w:color w:val="auto"/>
          <w:sz w:val="21"/>
          <w:szCs w:val="21"/>
        </w:rPr>
        <w:t>ABB、施耐德、西门子或同档次产品</w:t>
      </w:r>
      <w:r>
        <w:rPr>
          <w:rFonts w:hint="eastAsia"/>
          <w:color w:val="auto"/>
          <w:sz w:val="21"/>
          <w:szCs w:val="21"/>
          <w:lang w:eastAsia="zh-CN"/>
        </w:rPr>
        <w:t>；</w:t>
      </w:r>
      <w:r>
        <w:rPr>
          <w:rFonts w:hint="eastAsia" w:ascii="Arial" w:cs="Arial"/>
          <w:color w:val="auto"/>
          <w:sz w:val="21"/>
          <w:szCs w:val="21"/>
          <w:highlight w:val="none"/>
          <w:lang w:val="en-US" w:eastAsia="zh-CN"/>
        </w:rPr>
        <w:t>高/低速切换刀闸柜可选用平高、许继、厦门华电等国产或合资名优产品；</w:t>
      </w:r>
      <w:r>
        <w:rPr>
          <w:rFonts w:hint="eastAsia"/>
          <w:color w:val="auto"/>
          <w:sz w:val="21"/>
          <w:szCs w:val="21"/>
          <w:highlight w:val="none"/>
          <w:lang w:val="en-US" w:eastAsia="zh-CN"/>
        </w:rPr>
        <w:t>配套</w:t>
      </w:r>
      <w:r>
        <w:rPr>
          <w:rFonts w:hint="eastAsia" w:ascii="Arial" w:cs="Arial"/>
          <w:color w:val="auto"/>
          <w:sz w:val="21"/>
          <w:szCs w:val="21"/>
          <w:highlight w:val="none"/>
          <w:lang w:val="en-US" w:eastAsia="zh-CN"/>
        </w:rPr>
        <w:t>外购设备品牌须经业主方认可。</w:t>
      </w:r>
    </w:p>
    <w:p w14:paraId="46D57FBC">
      <w:pPr>
        <w:pStyle w:val="20"/>
        <w:numPr>
          <w:ilvl w:val="2"/>
          <w:numId w:val="11"/>
        </w:numPr>
        <w:rPr>
          <w:rFonts w:hint="eastAsia"/>
          <w:sz w:val="21"/>
          <w:szCs w:val="21"/>
        </w:rPr>
      </w:pPr>
      <w:r>
        <w:rPr>
          <w:rFonts w:hint="eastAsia"/>
          <w:sz w:val="21"/>
          <w:szCs w:val="21"/>
        </w:rPr>
        <w:t>整套变频器系统（含旁路柜和变压器在内）在供货前必须进行至少2小时的出厂测试，并附有出厂测试报告。</w:t>
      </w:r>
    </w:p>
    <w:p w14:paraId="07CE3B49">
      <w:pPr>
        <w:spacing w:before="240" w:after="120" w:line="360" w:lineRule="auto"/>
        <w:rPr>
          <w:rFonts w:hint="eastAsia" w:ascii="宋体" w:hAnsi="宋体"/>
          <w:szCs w:val="21"/>
        </w:rPr>
      </w:pPr>
      <w:r>
        <w:rPr>
          <w:rFonts w:hint="eastAsia" w:ascii="宋体" w:hAnsi="宋体"/>
          <w:szCs w:val="21"/>
        </w:rPr>
        <w:t>3、设备规范</w:t>
      </w:r>
    </w:p>
    <w:p w14:paraId="3E566E22">
      <w:pPr>
        <w:spacing w:line="360" w:lineRule="auto"/>
        <w:rPr>
          <w:rFonts w:hint="eastAsia" w:ascii="宋体" w:hAnsi="宋体"/>
          <w:color w:val="000000"/>
          <w:szCs w:val="21"/>
        </w:rPr>
      </w:pPr>
      <w:r>
        <w:rPr>
          <w:rFonts w:hint="eastAsia" w:ascii="宋体" w:hAnsi="宋体"/>
          <w:color w:val="000000"/>
          <w:szCs w:val="21"/>
        </w:rPr>
        <w:t>本工程订货的设备规范及数量见表3</w:t>
      </w:r>
      <w:r>
        <w:rPr>
          <w:rFonts w:ascii="宋体" w:hAnsi="宋体"/>
          <w:color w:val="000000"/>
          <w:szCs w:val="21"/>
        </w:rPr>
        <w:t>.1</w:t>
      </w:r>
    </w:p>
    <w:p w14:paraId="4A6D5CFB">
      <w:pPr>
        <w:spacing w:line="360" w:lineRule="auto"/>
        <w:rPr>
          <w:rFonts w:hint="eastAsia" w:ascii="宋体" w:hAnsi="宋体"/>
          <w:color w:val="000000"/>
          <w:szCs w:val="21"/>
        </w:rPr>
      </w:pPr>
      <w:r>
        <w:rPr>
          <w:rFonts w:hint="eastAsia" w:ascii="宋体" w:hAnsi="宋体"/>
          <w:color w:val="000000"/>
          <w:szCs w:val="21"/>
        </w:rPr>
        <w:t>表3.1</w:t>
      </w:r>
      <w:r>
        <w:rPr>
          <w:rFonts w:hint="eastAsia" w:ascii="宋体" w:hAnsi="宋体"/>
          <w:color w:val="000000"/>
          <w:szCs w:val="21"/>
          <w:lang w:eastAsia="zh-CN"/>
        </w:rPr>
        <w:t>：</w:t>
      </w:r>
      <w:r>
        <w:rPr>
          <w:rFonts w:ascii="宋体" w:hAnsi="宋体"/>
          <w:color w:val="000000"/>
          <w:szCs w:val="21"/>
        </w:rPr>
        <w:tab/>
      </w:r>
      <w:r>
        <w:rPr>
          <w:rFonts w:hint="eastAsia" w:ascii="宋体" w:hAnsi="宋体"/>
          <w:color w:val="000000"/>
          <w:szCs w:val="21"/>
        </w:rPr>
        <w:t xml:space="preserve">                       </w:t>
      </w:r>
      <w:r>
        <w:rPr>
          <w:rFonts w:ascii="宋体" w:hAnsi="宋体"/>
          <w:color w:val="000000"/>
          <w:szCs w:val="21"/>
        </w:rPr>
        <w:tab/>
      </w:r>
      <w:r>
        <w:rPr>
          <w:rFonts w:hint="eastAsia" w:ascii="宋体" w:hAnsi="宋体"/>
          <w:color w:val="000000"/>
          <w:szCs w:val="21"/>
        </w:rPr>
        <w:t>设备规范和数量</w:t>
      </w:r>
    </w:p>
    <w:tbl>
      <w:tblPr>
        <w:tblStyle w:val="59"/>
        <w:tblW w:w="967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800"/>
        <w:gridCol w:w="1770"/>
        <w:gridCol w:w="1365"/>
        <w:gridCol w:w="1305"/>
        <w:gridCol w:w="765"/>
        <w:gridCol w:w="765"/>
        <w:gridCol w:w="1365"/>
      </w:tblGrid>
      <w:tr w14:paraId="5DF9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noWrap w:val="0"/>
            <w:vAlign w:val="center"/>
          </w:tcPr>
          <w:p w14:paraId="16C08AA3">
            <w:pPr>
              <w:spacing w:line="360" w:lineRule="auto"/>
              <w:jc w:val="center"/>
              <w:rPr>
                <w:rFonts w:ascii="宋体" w:hAnsi="宋体"/>
                <w:b/>
                <w:bCs/>
                <w:color w:val="000000"/>
                <w:szCs w:val="21"/>
              </w:rPr>
            </w:pPr>
            <w:r>
              <w:rPr>
                <w:rFonts w:hint="eastAsia" w:ascii="宋体" w:hAnsi="宋体"/>
                <w:b/>
                <w:bCs/>
                <w:color w:val="000000"/>
                <w:szCs w:val="21"/>
              </w:rPr>
              <w:t>序号</w:t>
            </w:r>
          </w:p>
        </w:tc>
        <w:tc>
          <w:tcPr>
            <w:tcW w:w="1800" w:type="dxa"/>
            <w:noWrap w:val="0"/>
            <w:vAlign w:val="center"/>
          </w:tcPr>
          <w:p w14:paraId="146A2D31">
            <w:pPr>
              <w:spacing w:line="360" w:lineRule="auto"/>
              <w:jc w:val="center"/>
              <w:rPr>
                <w:rFonts w:ascii="宋体" w:hAnsi="宋体"/>
                <w:b/>
                <w:bCs/>
                <w:color w:val="000000"/>
                <w:szCs w:val="21"/>
              </w:rPr>
            </w:pPr>
            <w:r>
              <w:rPr>
                <w:rFonts w:hint="eastAsia" w:ascii="宋体" w:hAnsi="宋体"/>
                <w:b/>
                <w:bCs/>
                <w:color w:val="000000"/>
                <w:szCs w:val="21"/>
              </w:rPr>
              <w:t>型式</w:t>
            </w:r>
          </w:p>
        </w:tc>
        <w:tc>
          <w:tcPr>
            <w:tcW w:w="1770" w:type="dxa"/>
            <w:noWrap w:val="0"/>
            <w:vAlign w:val="center"/>
          </w:tcPr>
          <w:p w14:paraId="66BD359A">
            <w:pPr>
              <w:spacing w:line="360" w:lineRule="auto"/>
              <w:jc w:val="center"/>
              <w:rPr>
                <w:rFonts w:ascii="宋体" w:hAnsi="宋体"/>
                <w:b/>
                <w:bCs/>
                <w:color w:val="000000"/>
                <w:szCs w:val="21"/>
              </w:rPr>
            </w:pPr>
            <w:r>
              <w:rPr>
                <w:rFonts w:hint="eastAsia" w:ascii="宋体" w:hAnsi="宋体"/>
                <w:b/>
                <w:bCs/>
                <w:color w:val="000000"/>
                <w:szCs w:val="21"/>
              </w:rPr>
              <w:t>型号</w:t>
            </w:r>
          </w:p>
        </w:tc>
        <w:tc>
          <w:tcPr>
            <w:tcW w:w="1365" w:type="dxa"/>
            <w:noWrap w:val="0"/>
            <w:vAlign w:val="center"/>
          </w:tcPr>
          <w:p w14:paraId="259C3EEB">
            <w:pPr>
              <w:jc w:val="center"/>
              <w:rPr>
                <w:rFonts w:ascii="宋体" w:hAnsi="宋体"/>
                <w:b/>
                <w:bCs/>
                <w:color w:val="000000"/>
                <w:szCs w:val="21"/>
              </w:rPr>
            </w:pPr>
            <w:r>
              <w:rPr>
                <w:rFonts w:hint="eastAsia" w:ascii="宋体" w:hAnsi="宋体"/>
                <w:b/>
                <w:bCs/>
                <w:color w:val="000000"/>
                <w:szCs w:val="21"/>
              </w:rPr>
              <w:t>额定电压</w:t>
            </w:r>
          </w:p>
          <w:p w14:paraId="74832C1B">
            <w:pPr>
              <w:jc w:val="center"/>
              <w:rPr>
                <w:rFonts w:ascii="宋体" w:hAnsi="宋体"/>
                <w:b/>
                <w:bCs/>
                <w:color w:val="000000"/>
                <w:szCs w:val="21"/>
              </w:rPr>
            </w:pPr>
            <w:r>
              <w:rPr>
                <w:rFonts w:ascii="宋体" w:hAnsi="宋体"/>
                <w:b/>
                <w:bCs/>
                <w:color w:val="000000"/>
                <w:szCs w:val="21"/>
              </w:rPr>
              <w:t>(kV)</w:t>
            </w:r>
          </w:p>
        </w:tc>
        <w:tc>
          <w:tcPr>
            <w:tcW w:w="1305" w:type="dxa"/>
            <w:noWrap w:val="0"/>
            <w:vAlign w:val="center"/>
          </w:tcPr>
          <w:p w14:paraId="18E2A7EB">
            <w:pPr>
              <w:jc w:val="center"/>
              <w:rPr>
                <w:rFonts w:ascii="宋体" w:hAnsi="宋体"/>
                <w:b/>
                <w:bCs/>
                <w:color w:val="000000"/>
                <w:szCs w:val="21"/>
              </w:rPr>
            </w:pPr>
            <w:r>
              <w:rPr>
                <w:rFonts w:hint="eastAsia" w:ascii="宋体" w:hAnsi="宋体"/>
                <w:b/>
                <w:bCs/>
                <w:color w:val="000000"/>
                <w:szCs w:val="21"/>
              </w:rPr>
              <w:t>额定电流</w:t>
            </w:r>
          </w:p>
          <w:p w14:paraId="006BE0E4">
            <w:pPr>
              <w:jc w:val="center"/>
              <w:rPr>
                <w:rFonts w:ascii="宋体" w:hAnsi="宋体"/>
                <w:b/>
                <w:bCs/>
                <w:color w:val="000000"/>
                <w:szCs w:val="21"/>
              </w:rPr>
            </w:pPr>
            <w:r>
              <w:rPr>
                <w:rFonts w:ascii="宋体" w:hAnsi="宋体"/>
                <w:b/>
                <w:bCs/>
                <w:color w:val="000000"/>
                <w:szCs w:val="21"/>
              </w:rPr>
              <w:t>(A)</w:t>
            </w:r>
          </w:p>
        </w:tc>
        <w:tc>
          <w:tcPr>
            <w:tcW w:w="765" w:type="dxa"/>
            <w:noWrap w:val="0"/>
            <w:vAlign w:val="center"/>
          </w:tcPr>
          <w:p w14:paraId="363CA3DA">
            <w:pPr>
              <w:spacing w:line="360" w:lineRule="auto"/>
              <w:jc w:val="center"/>
              <w:rPr>
                <w:rFonts w:ascii="宋体" w:hAnsi="宋体"/>
                <w:b/>
                <w:bCs/>
                <w:color w:val="000000"/>
                <w:szCs w:val="21"/>
              </w:rPr>
            </w:pPr>
            <w:r>
              <w:rPr>
                <w:rFonts w:hint="eastAsia" w:ascii="宋体" w:hAnsi="宋体"/>
                <w:b/>
                <w:bCs/>
                <w:color w:val="000000"/>
                <w:szCs w:val="21"/>
              </w:rPr>
              <w:t>单位</w:t>
            </w:r>
          </w:p>
        </w:tc>
        <w:tc>
          <w:tcPr>
            <w:tcW w:w="765" w:type="dxa"/>
            <w:noWrap w:val="0"/>
            <w:vAlign w:val="center"/>
          </w:tcPr>
          <w:p w14:paraId="2C4CBA92">
            <w:pPr>
              <w:spacing w:line="360" w:lineRule="auto"/>
              <w:jc w:val="center"/>
              <w:rPr>
                <w:rFonts w:ascii="宋体" w:hAnsi="宋体"/>
                <w:b/>
                <w:bCs/>
                <w:color w:val="000000"/>
                <w:szCs w:val="21"/>
              </w:rPr>
            </w:pPr>
            <w:r>
              <w:rPr>
                <w:rFonts w:hint="eastAsia" w:ascii="宋体" w:hAnsi="宋体"/>
                <w:b/>
                <w:bCs/>
                <w:color w:val="000000"/>
                <w:szCs w:val="21"/>
              </w:rPr>
              <w:t>数量</w:t>
            </w:r>
          </w:p>
        </w:tc>
        <w:tc>
          <w:tcPr>
            <w:tcW w:w="1365" w:type="dxa"/>
            <w:noWrap w:val="0"/>
            <w:vAlign w:val="center"/>
          </w:tcPr>
          <w:p w14:paraId="742E955F">
            <w:pPr>
              <w:spacing w:line="360" w:lineRule="auto"/>
              <w:jc w:val="center"/>
              <w:rPr>
                <w:rFonts w:ascii="宋体" w:hAnsi="宋体"/>
                <w:b/>
                <w:bCs/>
                <w:color w:val="000000"/>
                <w:szCs w:val="21"/>
              </w:rPr>
            </w:pPr>
            <w:r>
              <w:rPr>
                <w:rFonts w:hint="eastAsia" w:ascii="宋体" w:hAnsi="宋体"/>
                <w:b/>
                <w:bCs/>
                <w:color w:val="000000"/>
                <w:szCs w:val="21"/>
              </w:rPr>
              <w:t>备注</w:t>
            </w:r>
          </w:p>
        </w:tc>
      </w:tr>
      <w:tr w14:paraId="0233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40" w:type="dxa"/>
            <w:noWrap w:val="0"/>
            <w:vAlign w:val="center"/>
          </w:tcPr>
          <w:p w14:paraId="58C23A37">
            <w:pPr>
              <w:spacing w:line="360" w:lineRule="auto"/>
              <w:jc w:val="center"/>
              <w:rPr>
                <w:rFonts w:ascii="宋体" w:hAnsi="宋体"/>
                <w:color w:val="000000"/>
                <w:szCs w:val="21"/>
              </w:rPr>
            </w:pPr>
            <w:r>
              <w:rPr>
                <w:rFonts w:ascii="宋体" w:hAnsi="宋体"/>
                <w:color w:val="000000"/>
                <w:szCs w:val="21"/>
              </w:rPr>
              <w:t>1</w:t>
            </w:r>
          </w:p>
        </w:tc>
        <w:tc>
          <w:tcPr>
            <w:tcW w:w="1800" w:type="dxa"/>
            <w:noWrap w:val="0"/>
            <w:vAlign w:val="center"/>
          </w:tcPr>
          <w:p w14:paraId="3DE08BD1">
            <w:pPr>
              <w:pStyle w:val="33"/>
              <w:spacing w:line="360" w:lineRule="auto"/>
              <w:jc w:val="center"/>
              <w:rPr>
                <w:rFonts w:hint="eastAsia" w:hAnsi="宋体"/>
                <w:color w:val="auto"/>
                <w:sz w:val="21"/>
                <w:szCs w:val="21"/>
                <w:highlight w:val="none"/>
              </w:rPr>
            </w:pPr>
            <w:r>
              <w:rPr>
                <w:rFonts w:hint="eastAsia" w:hAnsi="宋体"/>
                <w:color w:val="auto"/>
                <w:sz w:val="21"/>
                <w:szCs w:val="21"/>
                <w:highlight w:val="none"/>
              </w:rPr>
              <w:t>高压变频调速装置（一拖一</w:t>
            </w:r>
            <w:r>
              <w:rPr>
                <w:rFonts w:hint="eastAsia" w:hAnsi="宋体"/>
                <w:color w:val="auto"/>
                <w:sz w:val="21"/>
                <w:szCs w:val="21"/>
                <w:highlight w:val="none"/>
                <w:lang w:eastAsia="zh-CN"/>
              </w:rPr>
              <w:t>、</w:t>
            </w:r>
            <w:r>
              <w:rPr>
                <w:rFonts w:hint="eastAsia" w:hAnsi="宋体"/>
                <w:color w:val="auto"/>
                <w:sz w:val="21"/>
                <w:szCs w:val="21"/>
                <w:highlight w:val="none"/>
                <w:lang w:val="en-US" w:eastAsia="zh-CN"/>
              </w:rPr>
              <w:t>预制舱式</w:t>
            </w:r>
            <w:r>
              <w:rPr>
                <w:rFonts w:hint="eastAsia" w:hAnsi="宋体"/>
                <w:color w:val="auto"/>
                <w:sz w:val="21"/>
                <w:szCs w:val="21"/>
                <w:highlight w:val="none"/>
              </w:rPr>
              <w:t>）</w:t>
            </w:r>
          </w:p>
        </w:tc>
        <w:tc>
          <w:tcPr>
            <w:tcW w:w="1770" w:type="dxa"/>
            <w:noWrap w:val="0"/>
            <w:vAlign w:val="center"/>
          </w:tcPr>
          <w:p w14:paraId="5187B793">
            <w:pPr>
              <w:spacing w:line="360" w:lineRule="auto"/>
              <w:jc w:val="center"/>
              <w:rPr>
                <w:rFonts w:hint="eastAsia" w:ascii="宋体" w:hAnsi="宋体"/>
                <w:color w:val="auto"/>
                <w:szCs w:val="21"/>
                <w:highlight w:val="none"/>
              </w:rPr>
            </w:pPr>
          </w:p>
        </w:tc>
        <w:tc>
          <w:tcPr>
            <w:tcW w:w="1365" w:type="dxa"/>
            <w:noWrap w:val="0"/>
            <w:vAlign w:val="center"/>
          </w:tcPr>
          <w:p w14:paraId="6FB3D7E9">
            <w:pPr>
              <w:spacing w:line="360" w:lineRule="auto"/>
              <w:jc w:val="center"/>
              <w:rPr>
                <w:rFonts w:ascii="宋体" w:hAnsi="宋体"/>
                <w:color w:val="auto"/>
                <w:szCs w:val="21"/>
                <w:highlight w:val="none"/>
              </w:rPr>
            </w:pPr>
            <w:r>
              <w:rPr>
                <w:rFonts w:hint="eastAsia" w:ascii="宋体" w:hAnsi="宋体"/>
                <w:color w:val="auto"/>
                <w:szCs w:val="21"/>
                <w:highlight w:val="none"/>
              </w:rPr>
              <w:t>10</w:t>
            </w:r>
          </w:p>
        </w:tc>
        <w:tc>
          <w:tcPr>
            <w:tcW w:w="1305" w:type="dxa"/>
            <w:noWrap w:val="0"/>
            <w:vAlign w:val="center"/>
          </w:tcPr>
          <w:p w14:paraId="0745EA87">
            <w:pPr>
              <w:spacing w:line="360" w:lineRule="auto"/>
              <w:jc w:val="center"/>
              <w:rPr>
                <w:rFonts w:hint="default" w:ascii="宋体" w:hAnsi="宋体" w:eastAsia="宋体"/>
                <w:color w:val="auto"/>
                <w:szCs w:val="21"/>
                <w:highlight w:val="none"/>
                <w:lang w:val="en-US" w:eastAsia="zh-CN"/>
              </w:rPr>
            </w:pPr>
          </w:p>
        </w:tc>
        <w:tc>
          <w:tcPr>
            <w:tcW w:w="765" w:type="dxa"/>
            <w:noWrap w:val="0"/>
            <w:vAlign w:val="center"/>
          </w:tcPr>
          <w:p w14:paraId="3D2927D8">
            <w:pPr>
              <w:spacing w:line="360" w:lineRule="auto"/>
              <w:jc w:val="center"/>
              <w:rPr>
                <w:rFonts w:ascii="宋体" w:hAnsi="宋体"/>
                <w:color w:val="auto"/>
                <w:szCs w:val="21"/>
                <w:highlight w:val="none"/>
              </w:rPr>
            </w:pPr>
            <w:r>
              <w:rPr>
                <w:rFonts w:hint="eastAsia" w:ascii="宋体" w:hAnsi="宋体"/>
                <w:color w:val="auto"/>
                <w:szCs w:val="21"/>
                <w:highlight w:val="none"/>
              </w:rPr>
              <w:t>套</w:t>
            </w:r>
          </w:p>
        </w:tc>
        <w:tc>
          <w:tcPr>
            <w:tcW w:w="765" w:type="dxa"/>
            <w:noWrap w:val="0"/>
            <w:vAlign w:val="center"/>
          </w:tcPr>
          <w:p w14:paraId="498013F1">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1</w:t>
            </w:r>
          </w:p>
        </w:tc>
        <w:tc>
          <w:tcPr>
            <w:tcW w:w="1365" w:type="dxa"/>
            <w:noWrap w:val="0"/>
            <w:vAlign w:val="center"/>
          </w:tcPr>
          <w:p w14:paraId="4031DF5B">
            <w:pPr>
              <w:spacing w:line="360" w:lineRule="auto"/>
              <w:jc w:val="center"/>
              <w:rPr>
                <w:rFonts w:ascii="宋体" w:hAnsi="宋体"/>
                <w:color w:val="auto"/>
                <w:szCs w:val="21"/>
              </w:rPr>
            </w:pPr>
            <w:r>
              <w:rPr>
                <w:rFonts w:hint="eastAsia" w:ascii="宋体" w:hAnsi="宋体"/>
                <w:color w:val="auto"/>
                <w:szCs w:val="21"/>
              </w:rPr>
              <w:t>电机</w:t>
            </w:r>
            <w:r>
              <w:rPr>
                <w:rFonts w:hint="eastAsia" w:ascii="宋体" w:hAnsi="宋体"/>
                <w:color w:val="auto"/>
                <w:szCs w:val="21"/>
                <w:lang w:val="en-US" w:eastAsia="zh-CN"/>
              </w:rPr>
              <w:t>功率3600kW、电流275A</w:t>
            </w:r>
          </w:p>
        </w:tc>
      </w:tr>
      <w:tr w14:paraId="5793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40" w:type="dxa"/>
            <w:noWrap w:val="0"/>
            <w:vAlign w:val="center"/>
          </w:tcPr>
          <w:p w14:paraId="483101B5">
            <w:pPr>
              <w:spacing w:line="360"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2</w:t>
            </w:r>
          </w:p>
        </w:tc>
        <w:tc>
          <w:tcPr>
            <w:tcW w:w="1800" w:type="dxa"/>
            <w:noWrap w:val="0"/>
            <w:vAlign w:val="center"/>
          </w:tcPr>
          <w:p w14:paraId="43BD789D">
            <w:pPr>
              <w:pStyle w:val="33"/>
              <w:spacing w:line="360" w:lineRule="auto"/>
              <w:jc w:val="center"/>
              <w:rPr>
                <w:rFonts w:hint="default" w:hAnsi="宋体" w:eastAsia="宋体"/>
                <w:color w:val="auto"/>
                <w:sz w:val="21"/>
                <w:szCs w:val="21"/>
                <w:highlight w:val="none"/>
                <w:lang w:val="en-US" w:eastAsia="zh-CN"/>
              </w:rPr>
            </w:pPr>
            <w:r>
              <w:rPr>
                <w:rFonts w:hint="eastAsia" w:ascii="Arial" w:cs="Arial"/>
                <w:color w:val="auto"/>
                <w:sz w:val="21"/>
                <w:szCs w:val="21"/>
                <w:highlight w:val="none"/>
                <w:lang w:val="en-US" w:eastAsia="zh-CN"/>
              </w:rPr>
              <w:t>高/低速切换刀闸柜（手动）</w:t>
            </w:r>
          </w:p>
        </w:tc>
        <w:tc>
          <w:tcPr>
            <w:tcW w:w="1770" w:type="dxa"/>
            <w:noWrap w:val="0"/>
            <w:vAlign w:val="center"/>
          </w:tcPr>
          <w:p w14:paraId="1CC54E47">
            <w:pPr>
              <w:spacing w:line="360" w:lineRule="auto"/>
              <w:jc w:val="center"/>
              <w:rPr>
                <w:rFonts w:hint="eastAsia" w:ascii="宋体" w:hAnsi="宋体"/>
                <w:color w:val="auto"/>
                <w:szCs w:val="21"/>
                <w:highlight w:val="none"/>
              </w:rPr>
            </w:pPr>
          </w:p>
        </w:tc>
        <w:tc>
          <w:tcPr>
            <w:tcW w:w="1365" w:type="dxa"/>
            <w:noWrap w:val="0"/>
            <w:vAlign w:val="center"/>
          </w:tcPr>
          <w:p w14:paraId="14453AC7">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10</w:t>
            </w:r>
          </w:p>
        </w:tc>
        <w:tc>
          <w:tcPr>
            <w:tcW w:w="1305" w:type="dxa"/>
            <w:noWrap w:val="0"/>
            <w:vAlign w:val="center"/>
          </w:tcPr>
          <w:p w14:paraId="73394629">
            <w:pPr>
              <w:spacing w:line="360" w:lineRule="auto"/>
              <w:jc w:val="center"/>
              <w:rPr>
                <w:rFonts w:hint="default" w:ascii="宋体" w:hAnsi="宋体" w:eastAsia="宋体"/>
                <w:color w:val="auto"/>
                <w:szCs w:val="21"/>
                <w:highlight w:val="none"/>
                <w:lang w:val="en-US" w:eastAsia="zh-CN"/>
              </w:rPr>
            </w:pPr>
          </w:p>
        </w:tc>
        <w:tc>
          <w:tcPr>
            <w:tcW w:w="765" w:type="dxa"/>
            <w:noWrap w:val="0"/>
            <w:vAlign w:val="center"/>
          </w:tcPr>
          <w:p w14:paraId="7509478C">
            <w:pPr>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面</w:t>
            </w:r>
          </w:p>
        </w:tc>
        <w:tc>
          <w:tcPr>
            <w:tcW w:w="765" w:type="dxa"/>
            <w:noWrap w:val="0"/>
            <w:vAlign w:val="center"/>
          </w:tcPr>
          <w:p w14:paraId="5B21E2E8">
            <w:pPr>
              <w:spacing w:line="360" w:lineRule="auto"/>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w:t>
            </w:r>
          </w:p>
        </w:tc>
        <w:tc>
          <w:tcPr>
            <w:tcW w:w="1365" w:type="dxa"/>
            <w:noWrap w:val="0"/>
            <w:vAlign w:val="center"/>
          </w:tcPr>
          <w:p w14:paraId="129E5213">
            <w:pPr>
              <w:spacing w:line="360" w:lineRule="auto"/>
              <w:jc w:val="center"/>
              <w:rPr>
                <w:rFonts w:hint="eastAsia" w:ascii="宋体" w:hAnsi="宋体"/>
                <w:color w:val="auto"/>
                <w:szCs w:val="21"/>
              </w:rPr>
            </w:pPr>
            <w:r>
              <w:rPr>
                <w:rFonts w:hint="eastAsia" w:ascii="宋体" w:hAnsi="宋体"/>
                <w:color w:val="auto"/>
                <w:szCs w:val="21"/>
              </w:rPr>
              <w:t>电机</w:t>
            </w:r>
            <w:r>
              <w:rPr>
                <w:rFonts w:hint="eastAsia" w:ascii="宋体" w:hAnsi="宋体"/>
                <w:color w:val="auto"/>
                <w:szCs w:val="21"/>
                <w:lang w:val="en-US" w:eastAsia="zh-CN"/>
              </w:rPr>
              <w:t>功率3600kW、电流275A</w:t>
            </w:r>
          </w:p>
        </w:tc>
      </w:tr>
    </w:tbl>
    <w:p w14:paraId="4894B3DB">
      <w:pPr>
        <w:spacing w:line="360" w:lineRule="auto"/>
        <w:rPr>
          <w:rFonts w:hint="eastAsia" w:ascii="宋体" w:hAnsi="宋体"/>
          <w:bCs/>
          <w:color w:val="000000"/>
          <w:szCs w:val="21"/>
        </w:rPr>
      </w:pPr>
    </w:p>
    <w:p w14:paraId="07E015E0">
      <w:pPr>
        <w:spacing w:line="360" w:lineRule="auto"/>
        <w:rPr>
          <w:rFonts w:hint="eastAsia" w:ascii="宋体" w:hAnsi="宋体"/>
          <w:bCs/>
          <w:color w:val="auto"/>
          <w:szCs w:val="21"/>
          <w:highlight w:val="none"/>
        </w:rPr>
      </w:pPr>
      <w:r>
        <w:rPr>
          <w:rFonts w:hint="eastAsia" w:ascii="宋体" w:hAnsi="宋体"/>
          <w:bCs/>
          <w:color w:val="auto"/>
          <w:szCs w:val="21"/>
          <w:highlight w:val="none"/>
        </w:rPr>
        <w:t>4、投标方提供资料</w:t>
      </w:r>
    </w:p>
    <w:p w14:paraId="16BF4BE8">
      <w:pPr>
        <w:spacing w:line="360" w:lineRule="auto"/>
        <w:rPr>
          <w:rFonts w:hint="eastAsia" w:ascii="宋体" w:hAnsi="宋体"/>
          <w:bCs/>
          <w:color w:val="auto"/>
          <w:szCs w:val="21"/>
          <w:highlight w:val="none"/>
        </w:rPr>
      </w:pPr>
      <w:r>
        <w:rPr>
          <w:rFonts w:hint="eastAsia" w:ascii="宋体" w:hAnsi="宋体"/>
          <w:bCs/>
          <w:color w:val="auto"/>
          <w:szCs w:val="21"/>
          <w:highlight w:val="none"/>
        </w:rPr>
        <w:t>4.1投标方应填写的高压变频调速装置规范表</w:t>
      </w:r>
    </w:p>
    <w:p w14:paraId="43B49631">
      <w:pPr>
        <w:spacing w:line="360" w:lineRule="auto"/>
        <w:rPr>
          <w:rFonts w:hint="eastAsia" w:ascii="宋体" w:hAnsi="宋体"/>
          <w:color w:val="000000"/>
          <w:szCs w:val="21"/>
        </w:rPr>
      </w:pPr>
      <w:r>
        <w:rPr>
          <w:rFonts w:hint="eastAsia" w:ascii="宋体" w:hAnsi="宋体"/>
          <w:color w:val="000000"/>
          <w:szCs w:val="21"/>
        </w:rPr>
        <w:t>其内容和形式按表4.1</w:t>
      </w:r>
      <w:r>
        <w:rPr>
          <w:rFonts w:hint="eastAsia" w:ascii="宋体" w:hAnsi="宋体"/>
          <w:color w:val="000000"/>
          <w:szCs w:val="21"/>
          <w:lang w:eastAsia="zh-CN"/>
        </w:rPr>
        <w:t>：</w:t>
      </w:r>
      <w:r>
        <w:rPr>
          <w:rFonts w:hint="eastAsia" w:ascii="宋体" w:hAnsi="宋体"/>
          <w:color w:val="000000"/>
          <w:szCs w:val="21"/>
        </w:rPr>
        <w:tab/>
      </w:r>
      <w:r>
        <w:rPr>
          <w:rFonts w:hint="eastAsia" w:ascii="宋体" w:hAnsi="宋体"/>
          <w:color w:val="000000"/>
          <w:szCs w:val="21"/>
        </w:rPr>
        <w:tab/>
      </w:r>
    </w:p>
    <w:tbl>
      <w:tblPr>
        <w:tblStyle w:val="59"/>
        <w:tblW w:w="0" w:type="auto"/>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3600"/>
        <w:gridCol w:w="1440"/>
        <w:gridCol w:w="1080"/>
        <w:gridCol w:w="1980"/>
      </w:tblGrid>
      <w:tr w14:paraId="48B866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0E209C33">
            <w:pPr>
              <w:spacing w:before="120"/>
              <w:jc w:val="center"/>
              <w:rPr>
                <w:rFonts w:hint="eastAsia" w:ascii="宋体" w:hAnsi="宋体"/>
                <w:b/>
                <w:bCs/>
                <w:color w:val="000000"/>
                <w:szCs w:val="21"/>
              </w:rPr>
            </w:pPr>
            <w:r>
              <w:rPr>
                <w:rFonts w:hint="eastAsia" w:ascii="宋体" w:hAnsi="宋体"/>
                <w:b/>
                <w:bCs/>
                <w:color w:val="000000"/>
                <w:szCs w:val="21"/>
              </w:rPr>
              <w:t>序号</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08C31588">
            <w:pPr>
              <w:spacing w:before="120"/>
              <w:jc w:val="center"/>
              <w:rPr>
                <w:rFonts w:ascii="宋体" w:hAnsi="宋体"/>
                <w:b/>
                <w:bCs/>
                <w:color w:val="000000"/>
                <w:szCs w:val="21"/>
              </w:rPr>
            </w:pPr>
            <w:r>
              <w:rPr>
                <w:rFonts w:hint="eastAsia" w:ascii="宋体" w:hAnsi="宋体"/>
                <w:b/>
                <w:bCs/>
                <w:color w:val="000000"/>
                <w:szCs w:val="21"/>
              </w:rPr>
              <w:t>名  称</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A28696E">
            <w:pPr>
              <w:spacing w:before="120"/>
              <w:jc w:val="center"/>
              <w:rPr>
                <w:rFonts w:ascii="宋体" w:hAnsi="宋体"/>
                <w:b/>
                <w:bCs/>
                <w:color w:val="000000"/>
                <w:szCs w:val="21"/>
              </w:rPr>
            </w:pPr>
            <w:r>
              <w:rPr>
                <w:rFonts w:hint="eastAsia" w:ascii="宋体" w:hAnsi="宋体"/>
                <w:b/>
                <w:bCs/>
                <w:color w:val="000000"/>
                <w:szCs w:val="21"/>
              </w:rPr>
              <w:t>单位</w:t>
            </w:r>
          </w:p>
        </w:tc>
        <w:tc>
          <w:tcPr>
            <w:tcW w:w="1080" w:type="dxa"/>
            <w:tcBorders>
              <w:top w:val="single" w:color="auto" w:sz="4" w:space="0"/>
              <w:left w:val="single" w:color="auto" w:sz="4" w:space="0"/>
              <w:bottom w:val="single" w:color="auto" w:sz="4" w:space="0"/>
              <w:right w:val="single" w:color="auto" w:sz="4" w:space="0"/>
            </w:tcBorders>
            <w:noWrap w:val="0"/>
            <w:vAlign w:val="top"/>
          </w:tcPr>
          <w:p w14:paraId="1E8885F2">
            <w:pPr>
              <w:spacing w:before="120"/>
              <w:jc w:val="center"/>
              <w:rPr>
                <w:rFonts w:hint="eastAsia" w:ascii="宋体" w:hAnsi="宋体"/>
                <w:b/>
                <w:bCs/>
                <w:color w:val="000000"/>
                <w:szCs w:val="21"/>
              </w:rPr>
            </w:pPr>
            <w:r>
              <w:rPr>
                <w:rFonts w:hint="eastAsia" w:ascii="宋体" w:hAnsi="宋体"/>
                <w:b/>
                <w:bCs/>
                <w:color w:val="000000"/>
                <w:szCs w:val="21"/>
              </w:rPr>
              <w:t>投标值</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3550952B">
            <w:pPr>
              <w:spacing w:before="120"/>
              <w:jc w:val="center"/>
              <w:rPr>
                <w:rFonts w:ascii="宋体" w:hAnsi="宋体"/>
                <w:b/>
                <w:bCs/>
                <w:color w:val="000000"/>
                <w:szCs w:val="21"/>
              </w:rPr>
            </w:pPr>
            <w:r>
              <w:rPr>
                <w:rFonts w:hint="eastAsia" w:ascii="宋体" w:hAnsi="宋体"/>
                <w:b/>
                <w:bCs/>
                <w:color w:val="000000"/>
                <w:szCs w:val="21"/>
              </w:rPr>
              <w:t>备  注</w:t>
            </w:r>
          </w:p>
        </w:tc>
      </w:tr>
      <w:tr w14:paraId="6526F8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7E6F3F3E">
            <w:pPr>
              <w:spacing w:before="120"/>
              <w:jc w:val="center"/>
              <w:rPr>
                <w:rFonts w:hint="eastAsia" w:ascii="宋体" w:hAnsi="宋体"/>
                <w:color w:val="000000"/>
                <w:szCs w:val="21"/>
              </w:rPr>
            </w:pPr>
            <w:r>
              <w:rPr>
                <w:rFonts w:hint="eastAsia" w:ascii="宋体" w:hAnsi="宋体"/>
                <w:color w:val="000000"/>
                <w:szCs w:val="21"/>
              </w:rPr>
              <w:t>1</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4E3AC99">
            <w:pPr>
              <w:spacing w:before="120"/>
              <w:rPr>
                <w:rFonts w:ascii="宋体" w:hAnsi="宋体"/>
                <w:color w:val="000000"/>
                <w:szCs w:val="21"/>
              </w:rPr>
            </w:pPr>
            <w:r>
              <w:rPr>
                <w:rFonts w:hint="eastAsia" w:ascii="宋体" w:hAnsi="宋体"/>
                <w:color w:val="000000"/>
                <w:szCs w:val="21"/>
              </w:rPr>
              <w:t>使用标准</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F67F9BB">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90873C7">
            <w:pPr>
              <w:pStyle w:val="38"/>
              <w:spacing w:before="120"/>
              <w:rPr>
                <w:rFonts w:ascii="宋体" w:hAnsi="宋体"/>
                <w:color w:val="000000"/>
                <w:sz w:val="21"/>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384EA6A">
            <w:pPr>
              <w:spacing w:before="120"/>
              <w:jc w:val="center"/>
              <w:rPr>
                <w:rFonts w:ascii="宋体" w:hAnsi="宋体"/>
                <w:color w:val="000000"/>
                <w:szCs w:val="21"/>
              </w:rPr>
            </w:pPr>
          </w:p>
        </w:tc>
      </w:tr>
      <w:tr w14:paraId="62416F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56AA2A2B">
            <w:pPr>
              <w:spacing w:before="120"/>
              <w:jc w:val="center"/>
              <w:rPr>
                <w:rFonts w:hint="eastAsia" w:ascii="宋体" w:hAnsi="宋体"/>
                <w:color w:val="000000"/>
                <w:szCs w:val="21"/>
              </w:rPr>
            </w:pPr>
            <w:r>
              <w:rPr>
                <w:rFonts w:hint="eastAsia" w:ascii="宋体" w:hAnsi="宋体"/>
                <w:color w:val="000000"/>
                <w:szCs w:val="21"/>
              </w:rPr>
              <w:t>2</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9000A3C">
            <w:pPr>
              <w:spacing w:before="120"/>
              <w:rPr>
                <w:rFonts w:ascii="宋体" w:hAnsi="宋体"/>
                <w:color w:val="000000"/>
                <w:szCs w:val="21"/>
              </w:rPr>
            </w:pPr>
            <w:r>
              <w:rPr>
                <w:rFonts w:hint="eastAsia" w:ascii="宋体" w:hAnsi="宋体"/>
                <w:color w:val="000000"/>
                <w:szCs w:val="21"/>
              </w:rPr>
              <w:t>型式及型号</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8ACD5D5">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E85E8E">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BA6ED25">
            <w:pPr>
              <w:spacing w:before="120"/>
              <w:jc w:val="center"/>
              <w:rPr>
                <w:rFonts w:ascii="宋体" w:hAnsi="宋体"/>
                <w:color w:val="000000"/>
                <w:szCs w:val="21"/>
              </w:rPr>
            </w:pPr>
          </w:p>
        </w:tc>
      </w:tr>
      <w:tr w14:paraId="73A88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351E65FF">
            <w:pPr>
              <w:spacing w:before="120"/>
              <w:jc w:val="center"/>
              <w:rPr>
                <w:rFonts w:hint="eastAsia" w:ascii="宋体" w:hAnsi="宋体"/>
                <w:color w:val="000000"/>
                <w:szCs w:val="21"/>
              </w:rPr>
            </w:pPr>
            <w:r>
              <w:rPr>
                <w:rFonts w:hint="eastAsia" w:ascii="宋体" w:hAnsi="宋体"/>
                <w:color w:val="000000"/>
                <w:szCs w:val="21"/>
              </w:rPr>
              <w:t>3</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C71DC1F">
            <w:pPr>
              <w:spacing w:before="120"/>
              <w:rPr>
                <w:rFonts w:ascii="宋体" w:hAnsi="宋体"/>
                <w:color w:val="000000"/>
                <w:szCs w:val="21"/>
              </w:rPr>
            </w:pPr>
            <w:r>
              <w:rPr>
                <w:rFonts w:hint="eastAsia" w:ascii="宋体" w:hAnsi="宋体"/>
                <w:color w:val="000000"/>
                <w:szCs w:val="21"/>
              </w:rPr>
              <w:t>供货商及产地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20B47E8">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E5668B">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0F744D0">
            <w:pPr>
              <w:spacing w:before="120"/>
              <w:jc w:val="center"/>
              <w:rPr>
                <w:rFonts w:ascii="宋体" w:hAnsi="宋体"/>
                <w:color w:val="000000"/>
                <w:szCs w:val="21"/>
              </w:rPr>
            </w:pPr>
          </w:p>
        </w:tc>
      </w:tr>
      <w:tr w14:paraId="5E285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324D2CAC">
            <w:pPr>
              <w:spacing w:before="120"/>
              <w:jc w:val="center"/>
              <w:rPr>
                <w:rFonts w:hint="eastAsia" w:ascii="宋体" w:hAnsi="宋体"/>
                <w:color w:val="000000"/>
                <w:szCs w:val="21"/>
              </w:rPr>
            </w:pPr>
            <w:r>
              <w:rPr>
                <w:rFonts w:hint="eastAsia" w:ascii="宋体" w:hAnsi="宋体"/>
                <w:color w:val="000000"/>
                <w:szCs w:val="21"/>
              </w:rPr>
              <w:t>4</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10A70101">
            <w:pPr>
              <w:spacing w:before="120"/>
              <w:rPr>
                <w:rFonts w:ascii="宋体" w:hAnsi="宋体"/>
                <w:color w:val="000000"/>
                <w:szCs w:val="21"/>
              </w:rPr>
            </w:pPr>
            <w:r>
              <w:rPr>
                <w:rFonts w:hint="eastAsia" w:ascii="宋体" w:hAnsi="宋体"/>
                <w:color w:val="000000"/>
                <w:szCs w:val="21"/>
              </w:rPr>
              <w:t>安装地点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591FF72">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9C765D4">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166DD4C">
            <w:pPr>
              <w:spacing w:before="120"/>
              <w:jc w:val="center"/>
              <w:rPr>
                <w:rFonts w:hint="eastAsia" w:ascii="宋体" w:hAnsi="宋体" w:eastAsia="宋体"/>
                <w:color w:val="000000"/>
                <w:szCs w:val="21"/>
                <w:lang w:eastAsia="zh-CN"/>
              </w:rPr>
            </w:pPr>
            <w:r>
              <w:rPr>
                <w:rFonts w:hint="eastAsia" w:ascii="宋体" w:hAnsi="宋体"/>
                <w:color w:val="000000"/>
                <w:szCs w:val="21"/>
                <w:lang w:val="en-US" w:eastAsia="zh-CN"/>
              </w:rPr>
              <w:t>预制舱</w:t>
            </w:r>
          </w:p>
        </w:tc>
      </w:tr>
      <w:tr w14:paraId="42C004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31EA595A">
            <w:pPr>
              <w:spacing w:before="120"/>
              <w:jc w:val="center"/>
              <w:rPr>
                <w:rFonts w:hint="eastAsia" w:ascii="宋体" w:hAnsi="宋体"/>
                <w:color w:val="000000"/>
                <w:szCs w:val="21"/>
              </w:rPr>
            </w:pPr>
            <w:r>
              <w:rPr>
                <w:rFonts w:hint="eastAsia" w:ascii="宋体" w:hAnsi="宋体"/>
                <w:color w:val="000000"/>
                <w:szCs w:val="21"/>
              </w:rPr>
              <w:t>5</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3760718">
            <w:pPr>
              <w:spacing w:before="120"/>
              <w:rPr>
                <w:rFonts w:ascii="宋体" w:hAnsi="宋体"/>
                <w:color w:val="000000"/>
                <w:szCs w:val="21"/>
              </w:rPr>
            </w:pPr>
            <w:r>
              <w:rPr>
                <w:rFonts w:hint="eastAsia" w:ascii="宋体" w:hAnsi="宋体"/>
                <w:color w:val="000000"/>
                <w:szCs w:val="21"/>
              </w:rPr>
              <w:t>技术方案</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9A79CD6">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8655B3A">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37F1923">
            <w:pPr>
              <w:spacing w:before="120"/>
              <w:jc w:val="center"/>
              <w:rPr>
                <w:rFonts w:ascii="宋体" w:hAnsi="宋体"/>
                <w:color w:val="000000"/>
                <w:szCs w:val="21"/>
              </w:rPr>
            </w:pPr>
          </w:p>
        </w:tc>
      </w:tr>
      <w:tr w14:paraId="133CCA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6F3FB182">
            <w:pPr>
              <w:spacing w:before="120"/>
              <w:jc w:val="center"/>
              <w:rPr>
                <w:rFonts w:hint="eastAsia" w:ascii="宋体" w:hAnsi="宋体"/>
                <w:color w:val="000000"/>
                <w:szCs w:val="21"/>
              </w:rPr>
            </w:pPr>
            <w:r>
              <w:rPr>
                <w:rFonts w:hint="eastAsia" w:ascii="宋体" w:hAnsi="宋体"/>
                <w:color w:val="000000"/>
                <w:szCs w:val="21"/>
              </w:rPr>
              <w:t>6</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05842515">
            <w:pPr>
              <w:spacing w:before="120"/>
              <w:rPr>
                <w:rFonts w:ascii="宋体" w:hAnsi="宋体"/>
                <w:color w:val="000000"/>
                <w:szCs w:val="21"/>
              </w:rPr>
            </w:pPr>
            <w:r>
              <w:rPr>
                <w:rFonts w:hint="eastAsia" w:ascii="宋体" w:hAnsi="宋体"/>
                <w:color w:val="000000"/>
                <w:szCs w:val="21"/>
              </w:rPr>
              <w:t>对电动机要求</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75489F6">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056317C">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0D3691C">
            <w:pPr>
              <w:spacing w:before="120"/>
              <w:jc w:val="center"/>
              <w:rPr>
                <w:rFonts w:ascii="宋体" w:hAnsi="宋体"/>
                <w:color w:val="000000"/>
                <w:szCs w:val="21"/>
              </w:rPr>
            </w:pPr>
          </w:p>
        </w:tc>
      </w:tr>
      <w:tr w14:paraId="4AC03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6922D857">
            <w:pPr>
              <w:spacing w:before="120"/>
              <w:jc w:val="center"/>
              <w:rPr>
                <w:rFonts w:hint="eastAsia" w:ascii="宋体" w:hAnsi="宋体"/>
                <w:color w:val="000000"/>
                <w:szCs w:val="21"/>
              </w:rPr>
            </w:pPr>
            <w:r>
              <w:rPr>
                <w:rFonts w:hint="eastAsia" w:ascii="宋体" w:hAnsi="宋体"/>
                <w:color w:val="000000"/>
                <w:szCs w:val="21"/>
              </w:rPr>
              <w:t>7</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17E44391">
            <w:pPr>
              <w:spacing w:before="120"/>
              <w:rPr>
                <w:rFonts w:ascii="宋体" w:hAnsi="宋体"/>
                <w:color w:val="000000"/>
                <w:szCs w:val="21"/>
              </w:rPr>
            </w:pPr>
            <w:r>
              <w:rPr>
                <w:rFonts w:hint="eastAsia" w:ascii="宋体" w:hAnsi="宋体"/>
                <w:color w:val="000000"/>
                <w:szCs w:val="21"/>
              </w:rPr>
              <w:t>变频器输入侧有无熔断器</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85613A5">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954747B">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1F6F772">
            <w:pPr>
              <w:spacing w:before="120"/>
              <w:jc w:val="center"/>
              <w:rPr>
                <w:rFonts w:ascii="宋体" w:hAnsi="宋体"/>
                <w:color w:val="000000"/>
                <w:szCs w:val="21"/>
              </w:rPr>
            </w:pPr>
          </w:p>
        </w:tc>
      </w:tr>
      <w:tr w14:paraId="2A64F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5313EC74">
            <w:pPr>
              <w:spacing w:before="120"/>
              <w:jc w:val="center"/>
              <w:rPr>
                <w:rFonts w:hint="eastAsia" w:ascii="宋体" w:hAnsi="宋体"/>
                <w:color w:val="000000"/>
                <w:szCs w:val="21"/>
              </w:rPr>
            </w:pPr>
            <w:r>
              <w:rPr>
                <w:rFonts w:hint="eastAsia" w:ascii="宋体" w:hAnsi="宋体"/>
                <w:color w:val="000000"/>
                <w:szCs w:val="21"/>
              </w:rPr>
              <w:t>8</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62F532F9">
            <w:pPr>
              <w:spacing w:before="120"/>
              <w:rPr>
                <w:rFonts w:ascii="宋体" w:hAnsi="宋体"/>
                <w:color w:val="000000"/>
                <w:szCs w:val="21"/>
              </w:rPr>
            </w:pPr>
            <w:r>
              <w:rPr>
                <w:rFonts w:hint="eastAsia" w:ascii="宋体" w:hAnsi="宋体"/>
                <w:color w:val="000000"/>
                <w:szCs w:val="21"/>
              </w:rPr>
              <w:t>额定输入电压</w:t>
            </w:r>
            <w:r>
              <w:rPr>
                <w:rFonts w:ascii="宋体" w:hAnsi="宋体"/>
                <w:color w:val="000000"/>
                <w:szCs w:val="21"/>
              </w:rPr>
              <w:t>/</w:t>
            </w:r>
            <w:r>
              <w:rPr>
                <w:rFonts w:hint="eastAsia" w:ascii="宋体" w:hAnsi="宋体"/>
                <w:color w:val="000000"/>
                <w:szCs w:val="21"/>
              </w:rPr>
              <w:t>允许变化范围</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5C8239">
            <w:pPr>
              <w:spacing w:before="120"/>
              <w:jc w:val="center"/>
              <w:rPr>
                <w:rFonts w:ascii="宋体" w:hAnsi="宋体"/>
                <w:color w:val="000000"/>
                <w:szCs w:val="21"/>
              </w:rPr>
            </w:pPr>
            <w:r>
              <w:rPr>
                <w:rFonts w:ascii="宋体" w:hAnsi="宋体"/>
                <w:color w:val="000000"/>
                <w:szCs w:val="21"/>
              </w:rPr>
              <w:t>kV</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1E145B9">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4F57846">
            <w:pPr>
              <w:spacing w:before="120"/>
              <w:jc w:val="center"/>
              <w:rPr>
                <w:rFonts w:ascii="宋体" w:hAnsi="宋体"/>
                <w:color w:val="000000"/>
                <w:szCs w:val="21"/>
              </w:rPr>
            </w:pPr>
          </w:p>
        </w:tc>
      </w:tr>
      <w:tr w14:paraId="478E9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050BEBD8">
            <w:pPr>
              <w:spacing w:before="120"/>
              <w:jc w:val="center"/>
              <w:rPr>
                <w:rFonts w:hint="eastAsia" w:ascii="宋体" w:hAnsi="宋体"/>
                <w:color w:val="000000"/>
                <w:szCs w:val="21"/>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7029DE3F">
            <w:pPr>
              <w:spacing w:before="120"/>
              <w:rPr>
                <w:rFonts w:hint="eastAsia" w:ascii="宋体" w:hAnsi="宋体"/>
                <w:szCs w:val="21"/>
              </w:rPr>
            </w:pPr>
            <w:r>
              <w:rPr>
                <w:rFonts w:hint="eastAsia" w:ascii="宋体" w:hAnsi="宋体"/>
                <w:szCs w:val="21"/>
              </w:rPr>
              <w:t>额定输入频率/允许变化范围</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AE2BB2F">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C655E2">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B5BCB98">
            <w:pPr>
              <w:spacing w:before="120"/>
              <w:jc w:val="center"/>
              <w:rPr>
                <w:rFonts w:ascii="宋体" w:hAnsi="宋体"/>
                <w:color w:val="000000"/>
                <w:szCs w:val="21"/>
              </w:rPr>
            </w:pPr>
          </w:p>
        </w:tc>
      </w:tr>
      <w:tr w14:paraId="017806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699CA9C3">
            <w:pPr>
              <w:spacing w:before="120"/>
              <w:jc w:val="center"/>
              <w:rPr>
                <w:rFonts w:hint="eastAsia" w:ascii="宋体" w:hAnsi="宋体"/>
                <w:color w:val="000000"/>
                <w:szCs w:val="21"/>
              </w:rPr>
            </w:pPr>
            <w:r>
              <w:rPr>
                <w:rFonts w:hint="eastAsia" w:ascii="宋体" w:hAnsi="宋体"/>
                <w:color w:val="000000"/>
                <w:szCs w:val="21"/>
              </w:rPr>
              <w:t>9</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02B458FC">
            <w:pPr>
              <w:spacing w:before="120"/>
              <w:rPr>
                <w:rFonts w:ascii="宋体" w:hAnsi="宋体"/>
                <w:color w:val="000000"/>
                <w:szCs w:val="21"/>
              </w:rPr>
            </w:pPr>
            <w:r>
              <w:rPr>
                <w:rFonts w:hint="eastAsia" w:ascii="宋体" w:hAnsi="宋体"/>
                <w:color w:val="000000"/>
                <w:szCs w:val="21"/>
              </w:rPr>
              <w:t>系统输入电压</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773CA8E">
            <w:pPr>
              <w:spacing w:before="120"/>
              <w:jc w:val="center"/>
              <w:rPr>
                <w:rFonts w:ascii="宋体" w:hAnsi="宋体"/>
                <w:color w:val="000000"/>
                <w:szCs w:val="21"/>
              </w:rPr>
            </w:pPr>
            <w:r>
              <w:rPr>
                <w:rFonts w:ascii="宋体" w:hAnsi="宋体"/>
                <w:color w:val="000000"/>
                <w:szCs w:val="21"/>
              </w:rPr>
              <w:t>kV</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23C82EB">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CBE7FC8">
            <w:pPr>
              <w:spacing w:before="120"/>
              <w:jc w:val="center"/>
              <w:rPr>
                <w:rFonts w:ascii="宋体" w:hAnsi="宋体"/>
                <w:color w:val="000000"/>
                <w:szCs w:val="21"/>
              </w:rPr>
            </w:pPr>
          </w:p>
        </w:tc>
      </w:tr>
      <w:tr w14:paraId="0953B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72B8600A">
            <w:pPr>
              <w:spacing w:before="120"/>
              <w:jc w:val="center"/>
              <w:rPr>
                <w:rFonts w:hint="eastAsia" w:ascii="宋体" w:hAnsi="宋体"/>
                <w:color w:val="000000"/>
                <w:szCs w:val="21"/>
              </w:rPr>
            </w:pPr>
            <w:r>
              <w:rPr>
                <w:rFonts w:hint="eastAsia" w:ascii="宋体" w:hAnsi="宋体"/>
                <w:color w:val="000000"/>
                <w:szCs w:val="21"/>
              </w:rPr>
              <w:t>10</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3ACAB706">
            <w:pPr>
              <w:spacing w:before="120"/>
              <w:rPr>
                <w:rFonts w:ascii="宋体" w:hAnsi="宋体"/>
                <w:color w:val="000000"/>
                <w:szCs w:val="21"/>
              </w:rPr>
            </w:pPr>
            <w:r>
              <w:rPr>
                <w:rFonts w:hint="eastAsia" w:ascii="宋体" w:hAnsi="宋体"/>
                <w:color w:val="000000"/>
                <w:szCs w:val="21"/>
              </w:rPr>
              <w:t>系统输出电压</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A0FA70B">
            <w:pPr>
              <w:spacing w:before="120"/>
              <w:jc w:val="center"/>
              <w:rPr>
                <w:rFonts w:ascii="宋体" w:hAnsi="宋体"/>
                <w:color w:val="000000"/>
                <w:szCs w:val="21"/>
              </w:rPr>
            </w:pPr>
            <w:r>
              <w:rPr>
                <w:rFonts w:ascii="宋体" w:hAnsi="宋体"/>
                <w:color w:val="000000"/>
                <w:szCs w:val="21"/>
              </w:rPr>
              <w:t>kV</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19FC690">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027E161">
            <w:pPr>
              <w:spacing w:before="120"/>
              <w:jc w:val="center"/>
              <w:rPr>
                <w:rFonts w:ascii="宋体" w:hAnsi="宋体"/>
                <w:color w:val="000000"/>
                <w:szCs w:val="21"/>
              </w:rPr>
            </w:pPr>
          </w:p>
        </w:tc>
      </w:tr>
      <w:tr w14:paraId="478F8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364C637F">
            <w:pPr>
              <w:spacing w:before="120"/>
              <w:jc w:val="center"/>
              <w:rPr>
                <w:rFonts w:hint="eastAsia" w:ascii="宋体" w:hAnsi="宋体"/>
                <w:color w:val="000000"/>
                <w:szCs w:val="21"/>
              </w:rPr>
            </w:pPr>
            <w:r>
              <w:rPr>
                <w:rFonts w:hint="eastAsia" w:ascii="宋体" w:hAnsi="宋体"/>
                <w:color w:val="000000"/>
                <w:szCs w:val="21"/>
              </w:rPr>
              <w:t>11</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714F3FEC">
            <w:pPr>
              <w:spacing w:before="120"/>
              <w:rPr>
                <w:rFonts w:ascii="宋体" w:hAnsi="宋体"/>
                <w:color w:val="000000"/>
                <w:szCs w:val="21"/>
              </w:rPr>
            </w:pPr>
            <w:r>
              <w:rPr>
                <w:rFonts w:hint="eastAsia" w:ascii="宋体" w:hAnsi="宋体"/>
                <w:color w:val="000000"/>
                <w:szCs w:val="21"/>
              </w:rPr>
              <w:t>系统输出电流</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654B179">
            <w:pPr>
              <w:spacing w:before="120"/>
              <w:jc w:val="center"/>
              <w:rPr>
                <w:rFonts w:hint="eastAsia" w:ascii="宋体" w:hAnsi="宋体"/>
                <w:color w:val="000000"/>
                <w:szCs w:val="21"/>
              </w:rPr>
            </w:pPr>
            <w:r>
              <w:rPr>
                <w:rFonts w:ascii="宋体" w:hAnsi="宋体"/>
                <w:color w:val="000000"/>
                <w:szCs w:val="21"/>
              </w:rPr>
              <w:t>A</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AD7D6F">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CA68EAE">
            <w:pPr>
              <w:spacing w:before="120"/>
              <w:jc w:val="center"/>
              <w:rPr>
                <w:rFonts w:ascii="宋体" w:hAnsi="宋体"/>
                <w:color w:val="000000"/>
                <w:szCs w:val="21"/>
              </w:rPr>
            </w:pPr>
          </w:p>
        </w:tc>
      </w:tr>
      <w:tr w14:paraId="4669A2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14495736">
            <w:pPr>
              <w:spacing w:before="120"/>
              <w:jc w:val="center"/>
              <w:rPr>
                <w:rFonts w:hint="eastAsia" w:ascii="宋体" w:hAnsi="宋体"/>
                <w:color w:val="000000"/>
                <w:szCs w:val="21"/>
              </w:rPr>
            </w:pPr>
            <w:r>
              <w:rPr>
                <w:rFonts w:hint="eastAsia" w:ascii="宋体" w:hAnsi="宋体"/>
                <w:color w:val="000000"/>
                <w:szCs w:val="21"/>
              </w:rPr>
              <w:t>12</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72925D5D">
            <w:pPr>
              <w:spacing w:before="120"/>
              <w:rPr>
                <w:rFonts w:ascii="宋体" w:hAnsi="宋体"/>
                <w:color w:val="000000"/>
                <w:szCs w:val="21"/>
              </w:rPr>
            </w:pPr>
            <w:r>
              <w:rPr>
                <w:rFonts w:hint="eastAsia" w:ascii="宋体" w:hAnsi="宋体"/>
                <w:color w:val="000000"/>
                <w:szCs w:val="21"/>
              </w:rPr>
              <w:t>逆变侧最高输出电压</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D0C2AED">
            <w:pPr>
              <w:spacing w:before="120"/>
              <w:jc w:val="center"/>
              <w:rPr>
                <w:rFonts w:ascii="宋体" w:hAnsi="宋体"/>
                <w:color w:val="000000"/>
                <w:szCs w:val="21"/>
              </w:rPr>
            </w:pPr>
            <w:r>
              <w:rPr>
                <w:rFonts w:ascii="宋体" w:hAnsi="宋体"/>
                <w:color w:val="000000"/>
                <w:szCs w:val="21"/>
              </w:rPr>
              <w:t>kV</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328E2A0">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C6B0BD1">
            <w:pPr>
              <w:spacing w:before="120"/>
              <w:jc w:val="center"/>
              <w:rPr>
                <w:rFonts w:ascii="宋体" w:hAnsi="宋体"/>
                <w:color w:val="000000"/>
                <w:szCs w:val="21"/>
              </w:rPr>
            </w:pPr>
          </w:p>
        </w:tc>
      </w:tr>
      <w:tr w14:paraId="7B033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7EC6000F">
            <w:pPr>
              <w:spacing w:before="120"/>
              <w:jc w:val="center"/>
              <w:rPr>
                <w:rFonts w:hint="eastAsia" w:ascii="宋体" w:hAnsi="宋体"/>
                <w:color w:val="000000"/>
                <w:szCs w:val="21"/>
              </w:rPr>
            </w:pPr>
            <w:r>
              <w:rPr>
                <w:rFonts w:hint="eastAsia" w:ascii="宋体" w:hAnsi="宋体"/>
                <w:color w:val="000000"/>
                <w:szCs w:val="21"/>
              </w:rPr>
              <w:t>13</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6CBDF002">
            <w:pPr>
              <w:spacing w:before="120"/>
              <w:rPr>
                <w:rFonts w:ascii="宋体" w:hAnsi="宋体"/>
                <w:color w:val="000000"/>
                <w:szCs w:val="21"/>
              </w:rPr>
            </w:pPr>
            <w:r>
              <w:rPr>
                <w:rFonts w:hint="eastAsia" w:ascii="宋体" w:hAnsi="宋体"/>
                <w:color w:val="000000"/>
                <w:szCs w:val="21"/>
              </w:rPr>
              <w:t>额定容量</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3980853">
            <w:pPr>
              <w:spacing w:before="120"/>
              <w:jc w:val="center"/>
              <w:rPr>
                <w:rFonts w:ascii="宋体" w:hAnsi="宋体"/>
                <w:color w:val="000000"/>
                <w:szCs w:val="21"/>
              </w:rPr>
            </w:pPr>
            <w:r>
              <w:rPr>
                <w:rFonts w:ascii="宋体" w:hAnsi="宋体"/>
                <w:color w:val="000000"/>
                <w:szCs w:val="21"/>
              </w:rPr>
              <w:t>kVA</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3C33BAA">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42B9B69">
            <w:pPr>
              <w:spacing w:before="120"/>
              <w:jc w:val="center"/>
              <w:rPr>
                <w:rFonts w:ascii="宋体" w:hAnsi="宋体"/>
                <w:color w:val="000000"/>
                <w:szCs w:val="21"/>
              </w:rPr>
            </w:pPr>
          </w:p>
        </w:tc>
      </w:tr>
      <w:tr w14:paraId="2DD17E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17E0D740">
            <w:pPr>
              <w:spacing w:before="120"/>
              <w:jc w:val="center"/>
              <w:rPr>
                <w:rFonts w:hint="eastAsia" w:ascii="宋体" w:hAnsi="宋体"/>
                <w:color w:val="000000"/>
                <w:szCs w:val="21"/>
              </w:rPr>
            </w:pPr>
            <w:r>
              <w:rPr>
                <w:rFonts w:hint="eastAsia" w:ascii="宋体" w:hAnsi="宋体"/>
                <w:color w:val="000000"/>
                <w:szCs w:val="21"/>
              </w:rPr>
              <w:t>14</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1836DB93">
            <w:pPr>
              <w:spacing w:before="120"/>
              <w:rPr>
                <w:rFonts w:ascii="宋体" w:hAnsi="宋体"/>
                <w:color w:val="000000"/>
                <w:szCs w:val="21"/>
              </w:rPr>
            </w:pPr>
            <w:r>
              <w:rPr>
                <w:rFonts w:hint="eastAsia" w:ascii="宋体" w:hAnsi="宋体"/>
                <w:color w:val="000000"/>
                <w:szCs w:val="21"/>
              </w:rPr>
              <w:t>额定输入频率</w:t>
            </w:r>
            <w:r>
              <w:rPr>
                <w:rFonts w:ascii="宋体" w:hAnsi="宋体"/>
                <w:color w:val="000000"/>
                <w:szCs w:val="21"/>
              </w:rPr>
              <w:t>/</w:t>
            </w:r>
            <w:r>
              <w:rPr>
                <w:rFonts w:hint="eastAsia" w:ascii="宋体" w:hAnsi="宋体"/>
                <w:color w:val="000000"/>
                <w:szCs w:val="21"/>
              </w:rPr>
              <w:t>允许变化范围</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34A55A0">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7953E8">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D40A3D1">
            <w:pPr>
              <w:spacing w:before="120"/>
              <w:jc w:val="center"/>
              <w:rPr>
                <w:rFonts w:ascii="宋体" w:hAnsi="宋体"/>
                <w:color w:val="000000"/>
                <w:szCs w:val="21"/>
              </w:rPr>
            </w:pPr>
          </w:p>
        </w:tc>
      </w:tr>
      <w:tr w14:paraId="1C206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1999636D">
            <w:pPr>
              <w:spacing w:before="120"/>
              <w:jc w:val="center"/>
              <w:rPr>
                <w:rFonts w:hint="eastAsia" w:ascii="宋体" w:hAnsi="宋体"/>
                <w:color w:val="000000"/>
                <w:szCs w:val="21"/>
              </w:rPr>
            </w:pPr>
            <w:r>
              <w:rPr>
                <w:rFonts w:hint="eastAsia" w:ascii="宋体" w:hAnsi="宋体"/>
                <w:color w:val="000000"/>
                <w:szCs w:val="21"/>
              </w:rPr>
              <w:t>15</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106F9133">
            <w:pPr>
              <w:spacing w:before="120"/>
              <w:rPr>
                <w:rFonts w:ascii="宋体" w:hAnsi="宋体"/>
                <w:color w:val="000000"/>
                <w:szCs w:val="21"/>
              </w:rPr>
            </w:pPr>
            <w:r>
              <w:rPr>
                <w:rFonts w:hint="eastAsia" w:ascii="宋体" w:hAnsi="宋体"/>
                <w:color w:val="000000"/>
                <w:szCs w:val="21"/>
              </w:rPr>
              <w:t>对电网电压波动的敏感性</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552DD29">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784627C">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B3D32BB">
            <w:pPr>
              <w:spacing w:before="120"/>
              <w:jc w:val="center"/>
              <w:rPr>
                <w:rFonts w:ascii="宋体" w:hAnsi="宋体"/>
                <w:color w:val="000000"/>
                <w:szCs w:val="21"/>
              </w:rPr>
            </w:pPr>
          </w:p>
        </w:tc>
      </w:tr>
      <w:tr w14:paraId="2A19A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4A18DA5D">
            <w:pPr>
              <w:spacing w:before="120"/>
              <w:jc w:val="center"/>
              <w:rPr>
                <w:rFonts w:hint="eastAsia" w:ascii="宋体" w:hAnsi="宋体"/>
                <w:color w:val="000000"/>
                <w:szCs w:val="21"/>
              </w:rPr>
            </w:pPr>
            <w:r>
              <w:rPr>
                <w:rFonts w:hint="eastAsia" w:ascii="宋体" w:hAnsi="宋体"/>
                <w:color w:val="000000"/>
                <w:szCs w:val="21"/>
              </w:rPr>
              <w:t>16</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9CF1220">
            <w:pPr>
              <w:spacing w:before="120"/>
              <w:rPr>
                <w:rFonts w:ascii="宋体" w:hAnsi="宋体"/>
                <w:color w:val="000000"/>
                <w:szCs w:val="21"/>
              </w:rPr>
            </w:pPr>
            <w:r>
              <w:rPr>
                <w:rFonts w:hint="eastAsia" w:ascii="宋体" w:hAnsi="宋体"/>
                <w:color w:val="000000"/>
                <w:szCs w:val="21"/>
              </w:rPr>
              <w:t>变频器效率</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CB52608">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4C990BE">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513FB13">
            <w:pPr>
              <w:spacing w:before="120"/>
              <w:jc w:val="center"/>
              <w:rPr>
                <w:rFonts w:ascii="宋体" w:hAnsi="宋体"/>
                <w:color w:val="000000"/>
                <w:szCs w:val="21"/>
              </w:rPr>
            </w:pPr>
          </w:p>
        </w:tc>
      </w:tr>
      <w:tr w14:paraId="181AA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07D6F9B5">
            <w:pPr>
              <w:spacing w:before="120"/>
              <w:jc w:val="center"/>
              <w:rPr>
                <w:rFonts w:hint="eastAsia" w:ascii="宋体" w:hAnsi="宋体"/>
                <w:color w:val="000000"/>
                <w:szCs w:val="21"/>
              </w:rPr>
            </w:pPr>
            <w:r>
              <w:rPr>
                <w:rFonts w:hint="eastAsia" w:ascii="宋体" w:hAnsi="宋体"/>
                <w:color w:val="000000"/>
                <w:szCs w:val="21"/>
              </w:rPr>
              <w:t>17</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4D79E24D">
            <w:pPr>
              <w:spacing w:before="120"/>
              <w:rPr>
                <w:rFonts w:ascii="宋体" w:hAnsi="宋体"/>
                <w:color w:val="000000"/>
                <w:szCs w:val="21"/>
              </w:rPr>
            </w:pPr>
            <w:r>
              <w:rPr>
                <w:rFonts w:hint="eastAsia" w:ascii="宋体" w:hAnsi="宋体"/>
                <w:color w:val="000000"/>
                <w:szCs w:val="21"/>
              </w:rPr>
              <w:t>谐波</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392F65E7">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0DB5C3C">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7DE9305">
            <w:pPr>
              <w:spacing w:before="120"/>
              <w:jc w:val="center"/>
              <w:rPr>
                <w:rFonts w:ascii="宋体" w:hAnsi="宋体"/>
                <w:color w:val="000000"/>
                <w:szCs w:val="21"/>
              </w:rPr>
            </w:pPr>
          </w:p>
        </w:tc>
      </w:tr>
      <w:tr w14:paraId="1716D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62F02527">
            <w:pPr>
              <w:spacing w:before="120"/>
              <w:jc w:val="center"/>
              <w:rPr>
                <w:rFonts w:hint="eastAsia" w:ascii="宋体" w:hAnsi="宋体"/>
                <w:color w:val="000000"/>
                <w:szCs w:val="21"/>
              </w:rPr>
            </w:pPr>
            <w:r>
              <w:rPr>
                <w:rFonts w:hint="eastAsia" w:ascii="宋体" w:hAnsi="宋体"/>
                <w:color w:val="000000"/>
                <w:szCs w:val="21"/>
              </w:rPr>
              <w:t>18</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6DF520F">
            <w:pPr>
              <w:spacing w:before="120"/>
              <w:rPr>
                <w:rFonts w:ascii="宋体" w:hAnsi="宋体"/>
                <w:color w:val="000000"/>
                <w:szCs w:val="21"/>
              </w:rPr>
            </w:pPr>
            <w:r>
              <w:rPr>
                <w:rFonts w:hint="eastAsia" w:ascii="宋体" w:hAnsi="宋体"/>
                <w:color w:val="000000"/>
                <w:szCs w:val="21"/>
              </w:rPr>
              <w:t>可靠性指标</w:t>
            </w:r>
            <w:r>
              <w:rPr>
                <w:rFonts w:ascii="宋体" w:hAnsi="宋体"/>
                <w:color w:val="000000"/>
                <w:szCs w:val="21"/>
              </w:rPr>
              <w:t>(</w:t>
            </w:r>
            <w:r>
              <w:rPr>
                <w:rFonts w:hint="eastAsia" w:ascii="宋体" w:hAnsi="宋体"/>
                <w:color w:val="000000"/>
                <w:szCs w:val="21"/>
              </w:rPr>
              <w:t>平均无故障工作时间</w:t>
            </w:r>
            <w:r>
              <w:rPr>
                <w:rFonts w:ascii="宋体" w:hAnsi="宋体"/>
                <w:color w:val="000000"/>
                <w:szCs w:val="21"/>
              </w:rPr>
              <w:t>)</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35E03F2A">
            <w:pPr>
              <w:spacing w:before="120"/>
              <w:jc w:val="center"/>
              <w:rPr>
                <w:rFonts w:hint="eastAsia" w:ascii="宋体" w:hAnsi="宋体"/>
                <w:color w:val="000000"/>
                <w:szCs w:val="21"/>
              </w:rPr>
            </w:pPr>
            <w:r>
              <w:rPr>
                <w:rFonts w:hint="eastAsia" w:ascii="宋体" w:hAnsi="宋体"/>
                <w:color w:val="000000"/>
                <w:szCs w:val="21"/>
              </w:rPr>
              <w:t>H</w:t>
            </w:r>
          </w:p>
        </w:tc>
        <w:tc>
          <w:tcPr>
            <w:tcW w:w="1080" w:type="dxa"/>
            <w:tcBorders>
              <w:top w:val="single" w:color="auto" w:sz="4" w:space="0"/>
              <w:left w:val="single" w:color="auto" w:sz="4" w:space="0"/>
              <w:bottom w:val="single" w:color="auto" w:sz="4" w:space="0"/>
              <w:right w:val="single" w:color="auto" w:sz="4" w:space="0"/>
            </w:tcBorders>
            <w:noWrap w:val="0"/>
            <w:vAlign w:val="top"/>
          </w:tcPr>
          <w:p w14:paraId="30743E12">
            <w:pPr>
              <w:pStyle w:val="38"/>
              <w:tabs>
                <w:tab w:val="left" w:pos="420"/>
              </w:tabs>
              <w:spacing w:before="120"/>
              <w:rPr>
                <w:rFonts w:ascii="宋体" w:hAnsi="宋体"/>
                <w:color w:val="000000"/>
                <w:sz w:val="21"/>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D8DD5D1">
            <w:pPr>
              <w:spacing w:before="120"/>
              <w:rPr>
                <w:rFonts w:ascii="宋体" w:hAnsi="宋体"/>
                <w:color w:val="000000"/>
                <w:szCs w:val="21"/>
              </w:rPr>
            </w:pPr>
          </w:p>
        </w:tc>
      </w:tr>
      <w:tr w14:paraId="59708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27C5870C">
            <w:pPr>
              <w:spacing w:before="120"/>
              <w:jc w:val="center"/>
              <w:rPr>
                <w:rFonts w:hint="eastAsia" w:ascii="宋体" w:hAnsi="宋体"/>
                <w:color w:val="000000"/>
                <w:szCs w:val="21"/>
              </w:rPr>
            </w:pPr>
            <w:r>
              <w:rPr>
                <w:rFonts w:hint="eastAsia" w:ascii="宋体" w:hAnsi="宋体"/>
                <w:color w:val="000000"/>
                <w:szCs w:val="21"/>
              </w:rPr>
              <w:t>19</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CBC5D15">
            <w:pPr>
              <w:spacing w:before="120"/>
              <w:rPr>
                <w:rFonts w:ascii="宋体" w:hAnsi="宋体"/>
                <w:color w:val="000000"/>
                <w:szCs w:val="21"/>
              </w:rPr>
            </w:pPr>
            <w:r>
              <w:rPr>
                <w:rFonts w:hint="eastAsia" w:ascii="宋体" w:hAnsi="宋体"/>
                <w:color w:val="000000"/>
                <w:szCs w:val="21"/>
              </w:rPr>
              <w:t>输入侧功率因数</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BFE2B51">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ECD4244">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9ECFAD3">
            <w:pPr>
              <w:spacing w:before="120"/>
              <w:jc w:val="center"/>
              <w:rPr>
                <w:rFonts w:ascii="宋体" w:hAnsi="宋体"/>
                <w:color w:val="000000"/>
                <w:szCs w:val="21"/>
              </w:rPr>
            </w:pPr>
          </w:p>
        </w:tc>
      </w:tr>
      <w:tr w14:paraId="2E9C7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416DB2FE">
            <w:pPr>
              <w:spacing w:before="120"/>
              <w:jc w:val="center"/>
              <w:rPr>
                <w:rFonts w:hint="eastAsia" w:ascii="宋体" w:hAnsi="宋体"/>
                <w:color w:val="000000"/>
                <w:szCs w:val="21"/>
              </w:rPr>
            </w:pPr>
            <w:r>
              <w:rPr>
                <w:rFonts w:hint="eastAsia" w:ascii="宋体" w:hAnsi="宋体"/>
                <w:color w:val="000000"/>
                <w:szCs w:val="21"/>
              </w:rPr>
              <w:t>20</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109450F6">
            <w:pPr>
              <w:spacing w:before="120"/>
              <w:rPr>
                <w:rFonts w:ascii="宋体" w:hAnsi="宋体"/>
                <w:color w:val="000000"/>
                <w:szCs w:val="21"/>
              </w:rPr>
            </w:pPr>
            <w:r>
              <w:rPr>
                <w:rFonts w:hint="eastAsia" w:ascii="宋体" w:hAnsi="宋体"/>
                <w:color w:val="000000"/>
                <w:szCs w:val="21"/>
              </w:rPr>
              <w:t>控制方式</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CAFA21A">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27980585">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E27751E">
            <w:pPr>
              <w:spacing w:before="120"/>
              <w:jc w:val="center"/>
              <w:rPr>
                <w:rFonts w:ascii="宋体" w:hAnsi="宋体"/>
                <w:color w:val="000000"/>
                <w:szCs w:val="21"/>
              </w:rPr>
            </w:pPr>
          </w:p>
        </w:tc>
      </w:tr>
      <w:tr w14:paraId="13CDF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62E38701">
            <w:pPr>
              <w:spacing w:before="120"/>
              <w:jc w:val="center"/>
              <w:rPr>
                <w:rFonts w:hint="eastAsia" w:ascii="宋体" w:hAnsi="宋体"/>
                <w:color w:val="000000"/>
                <w:szCs w:val="21"/>
              </w:rPr>
            </w:pPr>
            <w:r>
              <w:rPr>
                <w:rFonts w:hint="eastAsia" w:ascii="宋体" w:hAnsi="宋体"/>
                <w:color w:val="000000"/>
                <w:szCs w:val="21"/>
              </w:rPr>
              <w:t>21</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AE21729">
            <w:pPr>
              <w:spacing w:before="120"/>
              <w:rPr>
                <w:rFonts w:ascii="宋体" w:hAnsi="宋体"/>
                <w:color w:val="000000"/>
                <w:szCs w:val="21"/>
              </w:rPr>
            </w:pPr>
            <w:r>
              <w:rPr>
                <w:rFonts w:hint="eastAsia" w:ascii="宋体" w:hAnsi="宋体"/>
                <w:color w:val="000000"/>
                <w:szCs w:val="21"/>
              </w:rPr>
              <w:t>控制电源</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3F01D728">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8EA9DFE">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C7447A3">
            <w:pPr>
              <w:spacing w:before="120"/>
              <w:jc w:val="center"/>
              <w:rPr>
                <w:rFonts w:hint="eastAsia" w:ascii="宋体" w:hAnsi="宋体"/>
                <w:color w:val="000000"/>
                <w:szCs w:val="21"/>
              </w:rPr>
            </w:pPr>
            <w:r>
              <w:rPr>
                <w:rFonts w:hint="eastAsia" w:ascii="宋体" w:hAnsi="宋体"/>
                <w:color w:val="000000"/>
                <w:szCs w:val="21"/>
              </w:rPr>
              <w:t>提出容量要求</w:t>
            </w:r>
          </w:p>
        </w:tc>
      </w:tr>
      <w:tr w14:paraId="11189F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0C18994A">
            <w:pPr>
              <w:spacing w:before="120"/>
              <w:jc w:val="center"/>
              <w:rPr>
                <w:rFonts w:hint="eastAsia" w:ascii="宋体" w:hAnsi="宋体"/>
                <w:color w:val="000000"/>
                <w:szCs w:val="21"/>
              </w:rPr>
            </w:pPr>
            <w:r>
              <w:rPr>
                <w:rFonts w:hint="eastAsia" w:ascii="宋体" w:hAnsi="宋体"/>
                <w:color w:val="000000"/>
                <w:szCs w:val="21"/>
              </w:rPr>
              <w:t>22</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6581298">
            <w:pPr>
              <w:spacing w:before="120"/>
              <w:rPr>
                <w:rFonts w:ascii="宋体" w:hAnsi="宋体"/>
                <w:color w:val="000000"/>
                <w:szCs w:val="21"/>
              </w:rPr>
            </w:pPr>
            <w:r>
              <w:rPr>
                <w:rFonts w:ascii="宋体" w:hAnsi="宋体"/>
                <w:color w:val="000000"/>
                <w:szCs w:val="21"/>
              </w:rPr>
              <w:t>UPS</w:t>
            </w:r>
            <w:r>
              <w:rPr>
                <w:rFonts w:hint="eastAsia" w:ascii="宋体" w:hAnsi="宋体"/>
                <w:color w:val="000000"/>
                <w:szCs w:val="21"/>
              </w:rPr>
              <w:t>型式、参数及容量</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D53F602">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13BEFBE">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CE8172A">
            <w:pPr>
              <w:spacing w:before="120"/>
              <w:jc w:val="center"/>
              <w:rPr>
                <w:rFonts w:ascii="宋体" w:hAnsi="宋体"/>
                <w:color w:val="000000"/>
                <w:szCs w:val="21"/>
              </w:rPr>
            </w:pPr>
            <w:r>
              <w:rPr>
                <w:rFonts w:hint="eastAsia" w:ascii="宋体" w:hAnsi="宋体"/>
                <w:color w:val="000000"/>
                <w:szCs w:val="21"/>
              </w:rPr>
              <w:t>断电保持时间</w:t>
            </w:r>
          </w:p>
        </w:tc>
      </w:tr>
      <w:tr w14:paraId="6E64F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7EE504F8">
            <w:pPr>
              <w:spacing w:before="120"/>
              <w:jc w:val="center"/>
              <w:rPr>
                <w:rFonts w:hint="eastAsia" w:ascii="宋体" w:hAnsi="宋体"/>
                <w:color w:val="000000"/>
                <w:szCs w:val="21"/>
              </w:rPr>
            </w:pPr>
            <w:r>
              <w:rPr>
                <w:rFonts w:hint="eastAsia" w:ascii="宋体" w:hAnsi="宋体"/>
                <w:color w:val="000000"/>
                <w:szCs w:val="21"/>
              </w:rPr>
              <w:t>23</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7FC28E8">
            <w:pPr>
              <w:pStyle w:val="38"/>
              <w:spacing w:before="120"/>
              <w:jc w:val="both"/>
              <w:rPr>
                <w:rFonts w:ascii="宋体" w:hAnsi="宋体"/>
                <w:color w:val="000000"/>
                <w:sz w:val="21"/>
                <w:szCs w:val="21"/>
              </w:rPr>
            </w:pPr>
            <w:r>
              <w:rPr>
                <w:rFonts w:hint="eastAsia" w:ascii="宋体" w:hAnsi="宋体"/>
                <w:color w:val="000000"/>
                <w:sz w:val="21"/>
                <w:szCs w:val="21"/>
              </w:rPr>
              <w:t>整流形式及元件参数</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C24AC00">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07DC0AF">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F2AACE4">
            <w:pPr>
              <w:spacing w:before="120"/>
              <w:jc w:val="center"/>
              <w:rPr>
                <w:rFonts w:ascii="宋体" w:hAnsi="宋体"/>
                <w:color w:val="000000"/>
                <w:szCs w:val="21"/>
              </w:rPr>
            </w:pPr>
          </w:p>
        </w:tc>
      </w:tr>
      <w:tr w14:paraId="0ED11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08B4737D">
            <w:pPr>
              <w:spacing w:before="120"/>
              <w:jc w:val="center"/>
              <w:rPr>
                <w:rFonts w:hint="eastAsia" w:ascii="宋体" w:hAnsi="宋体"/>
                <w:color w:val="000000"/>
                <w:szCs w:val="21"/>
              </w:rPr>
            </w:pPr>
            <w:r>
              <w:rPr>
                <w:rFonts w:hint="eastAsia" w:ascii="宋体" w:hAnsi="宋体"/>
                <w:color w:val="000000"/>
                <w:szCs w:val="21"/>
              </w:rPr>
              <w:t>24</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12CDF09E">
            <w:pPr>
              <w:spacing w:before="120"/>
              <w:rPr>
                <w:rFonts w:hint="eastAsia" w:ascii="宋体" w:hAnsi="宋体"/>
                <w:color w:val="000000"/>
                <w:szCs w:val="21"/>
              </w:rPr>
            </w:pPr>
            <w:r>
              <w:rPr>
                <w:rFonts w:hint="eastAsia" w:ascii="宋体" w:hAnsi="宋体"/>
                <w:color w:val="000000"/>
                <w:szCs w:val="21"/>
              </w:rPr>
              <w:t>逆变形式及元件参数</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C943253">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7AD3B41">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ED37E9E">
            <w:pPr>
              <w:spacing w:before="120"/>
              <w:jc w:val="center"/>
              <w:rPr>
                <w:rFonts w:ascii="宋体" w:hAnsi="宋体"/>
                <w:color w:val="000000"/>
                <w:szCs w:val="21"/>
              </w:rPr>
            </w:pPr>
          </w:p>
        </w:tc>
      </w:tr>
      <w:tr w14:paraId="3D510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5FE9C97C">
            <w:pPr>
              <w:spacing w:before="120"/>
              <w:jc w:val="center"/>
              <w:rPr>
                <w:rFonts w:hint="eastAsia" w:ascii="宋体" w:hAnsi="宋体"/>
                <w:color w:val="000000"/>
                <w:szCs w:val="21"/>
              </w:rPr>
            </w:pPr>
            <w:r>
              <w:rPr>
                <w:rFonts w:hint="eastAsia" w:ascii="宋体" w:hAnsi="宋体"/>
                <w:color w:val="000000"/>
                <w:szCs w:val="21"/>
              </w:rPr>
              <w:t>25</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4D07006E">
            <w:pPr>
              <w:spacing w:before="120"/>
              <w:rPr>
                <w:rFonts w:ascii="宋体" w:hAnsi="宋体"/>
                <w:color w:val="000000"/>
                <w:szCs w:val="21"/>
              </w:rPr>
            </w:pPr>
            <w:r>
              <w:rPr>
                <w:rFonts w:hint="eastAsia" w:ascii="宋体" w:hAnsi="宋体"/>
                <w:color w:val="000000"/>
                <w:szCs w:val="21"/>
              </w:rPr>
              <w:t>传动象限</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BD2E5E8">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E5666CB">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34DDC5D">
            <w:pPr>
              <w:spacing w:before="120"/>
              <w:jc w:val="center"/>
              <w:rPr>
                <w:rFonts w:ascii="宋体" w:hAnsi="宋体"/>
                <w:color w:val="000000"/>
                <w:szCs w:val="21"/>
              </w:rPr>
            </w:pPr>
          </w:p>
        </w:tc>
      </w:tr>
      <w:tr w14:paraId="5FFC8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07E64DD9">
            <w:pPr>
              <w:spacing w:before="120"/>
              <w:jc w:val="center"/>
              <w:rPr>
                <w:rFonts w:hint="eastAsia" w:ascii="宋体" w:hAnsi="宋体"/>
                <w:color w:val="000000"/>
                <w:szCs w:val="21"/>
              </w:rPr>
            </w:pPr>
            <w:r>
              <w:rPr>
                <w:rFonts w:hint="eastAsia" w:ascii="宋体" w:hAnsi="宋体"/>
                <w:color w:val="000000"/>
                <w:szCs w:val="21"/>
              </w:rPr>
              <w:t>26</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5DBD9EE">
            <w:pPr>
              <w:spacing w:before="120"/>
              <w:rPr>
                <w:rFonts w:ascii="宋体" w:hAnsi="宋体"/>
                <w:color w:val="000000"/>
                <w:szCs w:val="21"/>
              </w:rPr>
            </w:pPr>
            <w:r>
              <w:rPr>
                <w:rFonts w:hint="eastAsia" w:ascii="宋体" w:hAnsi="宋体"/>
                <w:color w:val="000000"/>
                <w:szCs w:val="21"/>
              </w:rPr>
              <w:t>电隔离部分是否采用光纤电缆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48BAB79">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4AC1F79">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5382C57">
            <w:pPr>
              <w:spacing w:before="120"/>
              <w:jc w:val="center"/>
              <w:rPr>
                <w:rFonts w:ascii="宋体" w:hAnsi="宋体"/>
                <w:color w:val="000000"/>
                <w:szCs w:val="21"/>
              </w:rPr>
            </w:pPr>
          </w:p>
        </w:tc>
      </w:tr>
      <w:tr w14:paraId="0BB43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18B87B48">
            <w:pPr>
              <w:spacing w:before="120"/>
              <w:jc w:val="center"/>
              <w:rPr>
                <w:rFonts w:hint="eastAsia" w:ascii="宋体" w:hAnsi="宋体"/>
                <w:color w:val="000000"/>
                <w:szCs w:val="21"/>
              </w:rPr>
            </w:pPr>
            <w:r>
              <w:rPr>
                <w:rFonts w:hint="eastAsia" w:ascii="宋体" w:hAnsi="宋体"/>
                <w:color w:val="000000"/>
                <w:szCs w:val="21"/>
              </w:rPr>
              <w:t>27</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60A46C3">
            <w:pPr>
              <w:spacing w:before="120"/>
              <w:rPr>
                <w:rFonts w:ascii="宋体" w:hAnsi="宋体"/>
                <w:color w:val="000000"/>
                <w:szCs w:val="21"/>
              </w:rPr>
            </w:pPr>
            <w:r>
              <w:rPr>
                <w:rFonts w:hint="eastAsia" w:ascii="宋体" w:hAnsi="宋体"/>
                <w:color w:val="000000"/>
                <w:szCs w:val="21"/>
              </w:rPr>
              <w:t>噪声等级</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394517A">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FF02D7E">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1ED5552">
            <w:pPr>
              <w:spacing w:before="120"/>
              <w:jc w:val="center"/>
              <w:rPr>
                <w:rFonts w:ascii="宋体" w:hAnsi="宋体"/>
                <w:color w:val="000000"/>
                <w:szCs w:val="21"/>
              </w:rPr>
            </w:pPr>
          </w:p>
        </w:tc>
      </w:tr>
      <w:tr w14:paraId="4C6D6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3DB8D0E9">
            <w:pPr>
              <w:spacing w:before="120"/>
              <w:jc w:val="center"/>
              <w:rPr>
                <w:rFonts w:ascii="宋体" w:hAnsi="宋体"/>
                <w:color w:val="000000"/>
                <w:szCs w:val="21"/>
              </w:rPr>
            </w:pPr>
            <w:r>
              <w:rPr>
                <w:rFonts w:hint="eastAsia" w:ascii="宋体" w:hAnsi="宋体"/>
                <w:color w:val="000000"/>
                <w:szCs w:val="21"/>
              </w:rPr>
              <w:t>28</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1A1879AC">
            <w:pPr>
              <w:spacing w:before="120"/>
              <w:rPr>
                <w:rFonts w:ascii="宋体" w:hAnsi="宋体"/>
                <w:color w:val="000000"/>
                <w:szCs w:val="21"/>
              </w:rPr>
            </w:pPr>
            <w:r>
              <w:rPr>
                <w:rFonts w:hint="eastAsia" w:ascii="宋体" w:hAnsi="宋体"/>
                <w:color w:val="000000"/>
                <w:szCs w:val="21"/>
              </w:rPr>
              <w:t>冷却方式</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674CE495">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C00B273">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AF9AD4E">
            <w:pPr>
              <w:spacing w:before="120"/>
              <w:jc w:val="center"/>
              <w:rPr>
                <w:rFonts w:ascii="宋体" w:hAnsi="宋体"/>
                <w:color w:val="000000"/>
                <w:szCs w:val="21"/>
              </w:rPr>
            </w:pPr>
          </w:p>
        </w:tc>
      </w:tr>
      <w:tr w14:paraId="0AB112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5CC0C335">
            <w:pPr>
              <w:spacing w:before="120"/>
              <w:jc w:val="center"/>
              <w:rPr>
                <w:rFonts w:hint="eastAsia" w:ascii="宋体" w:hAnsi="宋体"/>
                <w:color w:val="000000"/>
                <w:szCs w:val="21"/>
              </w:rPr>
            </w:pPr>
            <w:r>
              <w:rPr>
                <w:rFonts w:hint="eastAsia" w:ascii="宋体" w:hAnsi="宋体"/>
                <w:color w:val="000000"/>
                <w:szCs w:val="21"/>
              </w:rPr>
              <w:t>29</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03EB0851">
            <w:pPr>
              <w:spacing w:before="120"/>
              <w:rPr>
                <w:rFonts w:ascii="宋体" w:hAnsi="宋体"/>
                <w:color w:val="000000"/>
                <w:szCs w:val="21"/>
              </w:rPr>
            </w:pPr>
            <w:r>
              <w:rPr>
                <w:rFonts w:hint="eastAsia" w:ascii="宋体" w:hAnsi="宋体"/>
                <w:color w:val="000000"/>
                <w:szCs w:val="21"/>
              </w:rPr>
              <w:t>冷却系统故障对变频器的影响</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6E770539">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991E89E">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B9C5079">
            <w:pPr>
              <w:spacing w:before="120"/>
              <w:jc w:val="center"/>
              <w:rPr>
                <w:rFonts w:ascii="宋体" w:hAnsi="宋体"/>
                <w:color w:val="000000"/>
                <w:szCs w:val="21"/>
              </w:rPr>
            </w:pPr>
          </w:p>
        </w:tc>
      </w:tr>
      <w:tr w14:paraId="123E5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074F33B7">
            <w:pPr>
              <w:spacing w:before="120"/>
              <w:jc w:val="center"/>
              <w:rPr>
                <w:rFonts w:hint="eastAsia" w:ascii="宋体" w:hAnsi="宋体"/>
                <w:color w:val="000000"/>
                <w:szCs w:val="21"/>
              </w:rPr>
            </w:pPr>
            <w:r>
              <w:rPr>
                <w:rFonts w:hint="eastAsia" w:ascii="宋体" w:hAnsi="宋体"/>
                <w:color w:val="000000"/>
                <w:szCs w:val="21"/>
              </w:rPr>
              <w:t>30</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5C6D89DE">
            <w:pPr>
              <w:spacing w:before="120"/>
              <w:rPr>
                <w:rFonts w:ascii="宋体" w:hAnsi="宋体"/>
                <w:color w:val="000000"/>
                <w:szCs w:val="21"/>
              </w:rPr>
            </w:pPr>
            <w:r>
              <w:rPr>
                <w:rFonts w:hint="eastAsia" w:ascii="宋体" w:hAnsi="宋体"/>
                <w:color w:val="000000"/>
                <w:szCs w:val="21"/>
              </w:rPr>
              <w:t>过载能力</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9E0B0DC">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207FDC5">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5CB50B5">
            <w:pPr>
              <w:spacing w:before="120"/>
              <w:jc w:val="center"/>
              <w:rPr>
                <w:rFonts w:ascii="宋体" w:hAnsi="宋体"/>
                <w:color w:val="000000"/>
                <w:szCs w:val="21"/>
              </w:rPr>
            </w:pPr>
          </w:p>
        </w:tc>
      </w:tr>
      <w:tr w14:paraId="7043D3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2968DE68">
            <w:pPr>
              <w:spacing w:before="120"/>
              <w:jc w:val="center"/>
              <w:rPr>
                <w:rFonts w:hint="eastAsia" w:ascii="宋体" w:hAnsi="宋体"/>
                <w:color w:val="000000"/>
                <w:szCs w:val="21"/>
              </w:rPr>
            </w:pPr>
            <w:r>
              <w:rPr>
                <w:rFonts w:hint="eastAsia" w:ascii="宋体" w:hAnsi="宋体"/>
                <w:color w:val="000000"/>
                <w:szCs w:val="21"/>
              </w:rPr>
              <w:t>31</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64B4BC7">
            <w:pPr>
              <w:spacing w:before="120"/>
              <w:rPr>
                <w:rFonts w:ascii="宋体" w:hAnsi="宋体"/>
                <w:color w:val="000000"/>
                <w:szCs w:val="21"/>
              </w:rPr>
            </w:pPr>
            <w:r>
              <w:rPr>
                <w:rFonts w:hint="eastAsia" w:ascii="宋体" w:hAnsi="宋体"/>
                <w:color w:val="000000"/>
                <w:szCs w:val="21"/>
              </w:rPr>
              <w:t>变压器损耗(按不同标号分别填写)</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95F4659">
            <w:pPr>
              <w:spacing w:before="120"/>
              <w:jc w:val="center"/>
              <w:rPr>
                <w:rFonts w:hint="eastAsia" w:ascii="宋体" w:hAnsi="宋体"/>
                <w:color w:val="000000"/>
                <w:szCs w:val="21"/>
              </w:rPr>
            </w:pPr>
            <w:r>
              <w:rPr>
                <w:rFonts w:hint="eastAsia" w:ascii="宋体" w:hAnsi="宋体"/>
                <w:color w:val="000000"/>
                <w:szCs w:val="21"/>
              </w:rPr>
              <w:t>kW</w:t>
            </w:r>
          </w:p>
        </w:tc>
        <w:tc>
          <w:tcPr>
            <w:tcW w:w="1080" w:type="dxa"/>
            <w:tcBorders>
              <w:top w:val="single" w:color="auto" w:sz="4" w:space="0"/>
              <w:left w:val="single" w:color="auto" w:sz="4" w:space="0"/>
              <w:bottom w:val="single" w:color="auto" w:sz="4" w:space="0"/>
              <w:right w:val="single" w:color="auto" w:sz="4" w:space="0"/>
            </w:tcBorders>
            <w:noWrap w:val="0"/>
            <w:vAlign w:val="top"/>
          </w:tcPr>
          <w:p w14:paraId="3C226967">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AAD4FB0">
            <w:pPr>
              <w:spacing w:before="120"/>
              <w:jc w:val="center"/>
              <w:rPr>
                <w:rFonts w:ascii="宋体" w:hAnsi="宋体"/>
                <w:color w:val="000000"/>
                <w:szCs w:val="21"/>
              </w:rPr>
            </w:pPr>
          </w:p>
        </w:tc>
      </w:tr>
      <w:tr w14:paraId="6CC1C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7D13704D">
            <w:pPr>
              <w:spacing w:before="120"/>
              <w:jc w:val="center"/>
              <w:rPr>
                <w:rFonts w:hint="eastAsia" w:ascii="宋体" w:hAnsi="宋体"/>
                <w:color w:val="000000"/>
                <w:szCs w:val="21"/>
              </w:rPr>
            </w:pPr>
            <w:r>
              <w:rPr>
                <w:rFonts w:hint="eastAsia" w:ascii="宋体" w:hAnsi="宋体"/>
                <w:color w:val="000000"/>
                <w:szCs w:val="21"/>
              </w:rPr>
              <w:t>32</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31AB81A2">
            <w:pPr>
              <w:spacing w:before="120"/>
              <w:rPr>
                <w:rFonts w:ascii="宋体" w:hAnsi="宋体"/>
                <w:color w:val="000000"/>
                <w:szCs w:val="21"/>
              </w:rPr>
            </w:pPr>
            <w:r>
              <w:rPr>
                <w:rFonts w:hint="eastAsia" w:ascii="宋体" w:hAnsi="宋体"/>
                <w:color w:val="000000"/>
                <w:szCs w:val="21"/>
              </w:rPr>
              <w:t>系统总损耗(按不同标号分别填写)</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C7CE1CA">
            <w:pPr>
              <w:spacing w:before="120"/>
              <w:jc w:val="center"/>
              <w:rPr>
                <w:rFonts w:hint="eastAsia" w:ascii="宋体" w:hAnsi="宋体"/>
                <w:color w:val="000000"/>
                <w:szCs w:val="21"/>
              </w:rPr>
            </w:pPr>
            <w:r>
              <w:rPr>
                <w:rFonts w:hint="eastAsia" w:ascii="宋体" w:hAnsi="宋体"/>
                <w:color w:val="000000"/>
                <w:szCs w:val="21"/>
              </w:rPr>
              <w:t>kW</w:t>
            </w:r>
          </w:p>
        </w:tc>
        <w:tc>
          <w:tcPr>
            <w:tcW w:w="1080" w:type="dxa"/>
            <w:tcBorders>
              <w:top w:val="single" w:color="auto" w:sz="4" w:space="0"/>
              <w:left w:val="single" w:color="auto" w:sz="4" w:space="0"/>
              <w:bottom w:val="single" w:color="auto" w:sz="4" w:space="0"/>
              <w:right w:val="single" w:color="auto" w:sz="4" w:space="0"/>
            </w:tcBorders>
            <w:noWrap w:val="0"/>
            <w:vAlign w:val="top"/>
          </w:tcPr>
          <w:p w14:paraId="1FB98B35">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52D7956">
            <w:pPr>
              <w:spacing w:before="120"/>
              <w:jc w:val="center"/>
              <w:rPr>
                <w:rFonts w:ascii="宋体" w:hAnsi="宋体"/>
                <w:color w:val="000000"/>
                <w:szCs w:val="21"/>
              </w:rPr>
            </w:pPr>
          </w:p>
        </w:tc>
      </w:tr>
      <w:tr w14:paraId="759D4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28C8973E">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33</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562E358B">
            <w:pPr>
              <w:spacing w:before="120"/>
              <w:rPr>
                <w:rFonts w:hint="eastAsia" w:ascii="宋体" w:hAnsi="宋体"/>
                <w:szCs w:val="21"/>
              </w:rPr>
            </w:pPr>
            <w:r>
              <w:rPr>
                <w:rFonts w:hint="eastAsia" w:ascii="宋体" w:hAnsi="宋体"/>
                <w:szCs w:val="21"/>
              </w:rPr>
              <w:t>变压器绝缘等级</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C044C6F">
            <w:pPr>
              <w:spacing w:before="120"/>
              <w:jc w:val="center"/>
              <w:rPr>
                <w:rFonts w:hint="eastAsia"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0240463">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770AC4C">
            <w:pPr>
              <w:spacing w:before="120"/>
              <w:jc w:val="center"/>
              <w:rPr>
                <w:rFonts w:ascii="宋体" w:hAnsi="宋体"/>
                <w:color w:val="000000"/>
                <w:szCs w:val="21"/>
              </w:rPr>
            </w:pPr>
          </w:p>
        </w:tc>
      </w:tr>
      <w:tr w14:paraId="765B1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5C3BA628">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34</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4A19D6B1">
            <w:pPr>
              <w:spacing w:before="120"/>
              <w:rPr>
                <w:rFonts w:hint="eastAsia" w:ascii="宋体" w:hAnsi="宋体"/>
                <w:szCs w:val="21"/>
              </w:rPr>
            </w:pPr>
            <w:r>
              <w:rPr>
                <w:rFonts w:hint="eastAsia" w:ascii="宋体" w:hAnsi="宋体"/>
                <w:szCs w:val="21"/>
              </w:rPr>
              <w:t>旁路柜与变频器是否同一厂家</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1654D07">
            <w:pPr>
              <w:spacing w:before="120"/>
              <w:jc w:val="center"/>
              <w:rPr>
                <w:rFonts w:hint="eastAsia"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52095B2">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CAF9D5B">
            <w:pPr>
              <w:spacing w:before="120"/>
              <w:jc w:val="center"/>
              <w:rPr>
                <w:rFonts w:ascii="宋体" w:hAnsi="宋体"/>
                <w:color w:val="000000"/>
                <w:szCs w:val="21"/>
              </w:rPr>
            </w:pPr>
          </w:p>
        </w:tc>
      </w:tr>
      <w:tr w14:paraId="7A1D0E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39762771">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35</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674605E">
            <w:pPr>
              <w:spacing w:before="120"/>
              <w:rPr>
                <w:rFonts w:hint="eastAsia" w:ascii="宋体" w:hAnsi="宋体"/>
                <w:szCs w:val="21"/>
              </w:rPr>
            </w:pPr>
            <w:r>
              <w:rPr>
                <w:rFonts w:hint="eastAsia" w:ascii="宋体" w:hAnsi="宋体"/>
                <w:szCs w:val="21"/>
              </w:rPr>
              <w:t>旁路柜内开关接触器品牌</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3BAAFD97">
            <w:pPr>
              <w:spacing w:before="120"/>
              <w:jc w:val="center"/>
              <w:rPr>
                <w:rFonts w:hint="eastAsia"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48E7935">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18D9EF6">
            <w:pPr>
              <w:spacing w:before="120"/>
              <w:jc w:val="center"/>
              <w:rPr>
                <w:rFonts w:ascii="宋体" w:hAnsi="宋体"/>
                <w:color w:val="000000"/>
                <w:szCs w:val="21"/>
              </w:rPr>
            </w:pPr>
          </w:p>
        </w:tc>
      </w:tr>
      <w:tr w14:paraId="66734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0991E813">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36</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583BECF6">
            <w:pPr>
              <w:spacing w:before="120"/>
              <w:rPr>
                <w:rFonts w:hint="eastAsia" w:ascii="宋体" w:hAnsi="宋体"/>
                <w:szCs w:val="21"/>
              </w:rPr>
            </w:pPr>
            <w:r>
              <w:rPr>
                <w:rFonts w:hint="eastAsia" w:ascii="宋体" w:hAnsi="宋体"/>
                <w:szCs w:val="21"/>
              </w:rPr>
              <w:t>变频器通讯接口数量及通讯协议</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977B614">
            <w:pPr>
              <w:spacing w:before="120"/>
              <w:jc w:val="center"/>
              <w:rPr>
                <w:rFonts w:hint="eastAsia"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1454812">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EDBE3BD">
            <w:pPr>
              <w:spacing w:before="120"/>
              <w:jc w:val="center"/>
              <w:rPr>
                <w:rFonts w:ascii="宋体" w:hAnsi="宋体"/>
                <w:color w:val="000000"/>
                <w:szCs w:val="21"/>
              </w:rPr>
            </w:pPr>
          </w:p>
        </w:tc>
      </w:tr>
      <w:tr w14:paraId="6DED6B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6184E177">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37</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59D60458">
            <w:pPr>
              <w:spacing w:before="120"/>
              <w:rPr>
                <w:rFonts w:ascii="宋体" w:hAnsi="宋体"/>
                <w:color w:val="000000"/>
                <w:szCs w:val="21"/>
              </w:rPr>
            </w:pPr>
            <w:r>
              <w:rPr>
                <w:rFonts w:hint="eastAsia" w:ascii="宋体" w:hAnsi="宋体"/>
                <w:color w:val="000000"/>
                <w:szCs w:val="21"/>
              </w:rPr>
              <w:t>标准控制连接</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2715546">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D5FF266">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9B97EF0">
            <w:pPr>
              <w:spacing w:before="120"/>
              <w:jc w:val="center"/>
              <w:rPr>
                <w:rFonts w:ascii="宋体" w:hAnsi="宋体"/>
                <w:color w:val="000000"/>
                <w:szCs w:val="21"/>
              </w:rPr>
            </w:pPr>
          </w:p>
        </w:tc>
      </w:tr>
      <w:tr w14:paraId="3DDF82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1E338032">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38</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848CF02">
            <w:pPr>
              <w:spacing w:before="120"/>
              <w:rPr>
                <w:rFonts w:ascii="宋体" w:hAnsi="宋体"/>
                <w:color w:val="000000"/>
                <w:szCs w:val="21"/>
              </w:rPr>
            </w:pPr>
            <w:r>
              <w:rPr>
                <w:rFonts w:hint="eastAsia" w:ascii="宋体" w:hAnsi="宋体"/>
                <w:color w:val="000000"/>
                <w:szCs w:val="21"/>
              </w:rPr>
              <w:t>模拟量信号</w:t>
            </w:r>
            <w:r>
              <w:rPr>
                <w:rFonts w:ascii="宋体" w:hAnsi="宋体"/>
                <w:color w:val="000000"/>
                <w:szCs w:val="21"/>
              </w:rPr>
              <w:t>(</w:t>
            </w:r>
            <w:r>
              <w:rPr>
                <w:rFonts w:hint="eastAsia" w:ascii="宋体" w:hAnsi="宋体"/>
                <w:color w:val="000000"/>
                <w:szCs w:val="21"/>
              </w:rPr>
              <w:t>输入</w:t>
            </w:r>
            <w:r>
              <w:rPr>
                <w:rFonts w:ascii="宋体" w:hAnsi="宋体"/>
                <w:color w:val="000000"/>
                <w:szCs w:val="21"/>
              </w:rPr>
              <w:t>)</w:t>
            </w:r>
            <w:r>
              <w:rPr>
                <w:rFonts w:hint="eastAsia" w:ascii="宋体" w:hAnsi="宋体"/>
                <w:color w:val="000000"/>
                <w:szCs w:val="21"/>
              </w:rPr>
              <w:t>规格及数量</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F04A6EC">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DBFF076">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79F5BAC">
            <w:pPr>
              <w:spacing w:before="120"/>
              <w:jc w:val="center"/>
              <w:rPr>
                <w:rFonts w:ascii="宋体" w:hAnsi="宋体"/>
                <w:color w:val="000000"/>
                <w:szCs w:val="21"/>
              </w:rPr>
            </w:pPr>
          </w:p>
        </w:tc>
      </w:tr>
      <w:tr w14:paraId="73697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682911AF">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39</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97C3EE3">
            <w:pPr>
              <w:spacing w:before="120"/>
              <w:rPr>
                <w:rFonts w:ascii="宋体" w:hAnsi="宋体"/>
                <w:color w:val="000000"/>
                <w:szCs w:val="21"/>
              </w:rPr>
            </w:pPr>
            <w:r>
              <w:rPr>
                <w:rFonts w:hint="eastAsia" w:ascii="宋体" w:hAnsi="宋体"/>
                <w:color w:val="000000"/>
                <w:szCs w:val="21"/>
              </w:rPr>
              <w:t>模拟量信号</w:t>
            </w:r>
            <w:r>
              <w:rPr>
                <w:rFonts w:ascii="宋体" w:hAnsi="宋体"/>
                <w:color w:val="000000"/>
                <w:szCs w:val="21"/>
              </w:rPr>
              <w:t>(</w:t>
            </w:r>
            <w:r>
              <w:rPr>
                <w:rFonts w:hint="eastAsia" w:ascii="宋体" w:hAnsi="宋体"/>
                <w:color w:val="000000"/>
                <w:szCs w:val="21"/>
              </w:rPr>
              <w:t>输出</w:t>
            </w:r>
            <w:r>
              <w:rPr>
                <w:rFonts w:ascii="宋体" w:hAnsi="宋体"/>
                <w:color w:val="000000"/>
                <w:szCs w:val="21"/>
              </w:rPr>
              <w:t>)</w:t>
            </w:r>
            <w:r>
              <w:rPr>
                <w:rFonts w:hint="eastAsia" w:ascii="宋体" w:hAnsi="宋体"/>
                <w:color w:val="000000"/>
                <w:szCs w:val="21"/>
              </w:rPr>
              <w:t>规格及数量</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7BADD5B">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63032E0">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6DEB1B3">
            <w:pPr>
              <w:spacing w:before="120"/>
              <w:jc w:val="center"/>
              <w:rPr>
                <w:rFonts w:ascii="宋体" w:hAnsi="宋体"/>
                <w:color w:val="000000"/>
                <w:szCs w:val="21"/>
              </w:rPr>
            </w:pPr>
          </w:p>
        </w:tc>
      </w:tr>
      <w:tr w14:paraId="7AA99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41971152">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40</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0095E9B2">
            <w:pPr>
              <w:spacing w:before="120"/>
              <w:rPr>
                <w:rFonts w:ascii="宋体" w:hAnsi="宋体"/>
                <w:color w:val="000000"/>
                <w:szCs w:val="21"/>
              </w:rPr>
            </w:pPr>
            <w:r>
              <w:rPr>
                <w:rFonts w:hint="eastAsia" w:ascii="宋体" w:hAnsi="宋体"/>
                <w:color w:val="000000"/>
                <w:szCs w:val="21"/>
              </w:rPr>
              <w:t>开关量信号</w:t>
            </w:r>
            <w:r>
              <w:rPr>
                <w:rFonts w:ascii="宋体" w:hAnsi="宋体"/>
                <w:color w:val="000000"/>
                <w:szCs w:val="21"/>
              </w:rPr>
              <w:t>(</w:t>
            </w:r>
            <w:r>
              <w:rPr>
                <w:rFonts w:hint="eastAsia" w:ascii="宋体" w:hAnsi="宋体"/>
                <w:color w:val="000000"/>
                <w:szCs w:val="21"/>
              </w:rPr>
              <w:t>输入</w:t>
            </w:r>
            <w:r>
              <w:rPr>
                <w:rFonts w:ascii="宋体" w:hAnsi="宋体"/>
                <w:color w:val="000000"/>
                <w:szCs w:val="21"/>
              </w:rPr>
              <w:t>)</w:t>
            </w:r>
            <w:r>
              <w:rPr>
                <w:rFonts w:hint="eastAsia" w:ascii="宋体" w:hAnsi="宋体"/>
                <w:color w:val="000000"/>
                <w:szCs w:val="21"/>
              </w:rPr>
              <w:t>规格及数量</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6850BE96">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7A09933">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B9BF368">
            <w:pPr>
              <w:spacing w:before="120"/>
              <w:jc w:val="center"/>
              <w:rPr>
                <w:rFonts w:ascii="宋体" w:hAnsi="宋体"/>
                <w:color w:val="000000"/>
                <w:szCs w:val="21"/>
              </w:rPr>
            </w:pPr>
          </w:p>
        </w:tc>
      </w:tr>
      <w:tr w14:paraId="470E1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73B907F6">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41</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DB243A5">
            <w:pPr>
              <w:spacing w:before="120"/>
              <w:rPr>
                <w:rFonts w:ascii="宋体" w:hAnsi="宋体"/>
                <w:color w:val="000000"/>
                <w:szCs w:val="21"/>
              </w:rPr>
            </w:pPr>
            <w:r>
              <w:rPr>
                <w:rFonts w:hint="eastAsia" w:ascii="宋体" w:hAnsi="宋体"/>
                <w:color w:val="000000"/>
                <w:szCs w:val="21"/>
              </w:rPr>
              <w:t>开关量信号</w:t>
            </w:r>
            <w:r>
              <w:rPr>
                <w:rFonts w:ascii="宋体" w:hAnsi="宋体"/>
                <w:color w:val="000000"/>
                <w:szCs w:val="21"/>
              </w:rPr>
              <w:t>(</w:t>
            </w:r>
            <w:r>
              <w:rPr>
                <w:rFonts w:hint="eastAsia" w:ascii="宋体" w:hAnsi="宋体"/>
                <w:color w:val="000000"/>
                <w:szCs w:val="21"/>
              </w:rPr>
              <w:t>输出</w:t>
            </w:r>
            <w:r>
              <w:rPr>
                <w:rFonts w:ascii="宋体" w:hAnsi="宋体"/>
                <w:color w:val="000000"/>
                <w:szCs w:val="21"/>
              </w:rPr>
              <w:t>)</w:t>
            </w:r>
            <w:r>
              <w:rPr>
                <w:rFonts w:hint="eastAsia" w:ascii="宋体" w:hAnsi="宋体"/>
                <w:color w:val="000000"/>
                <w:szCs w:val="21"/>
              </w:rPr>
              <w:t>规格及数量</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9FCE1A6">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FEC02A1">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7816E24">
            <w:pPr>
              <w:spacing w:before="120"/>
              <w:jc w:val="center"/>
              <w:rPr>
                <w:rFonts w:ascii="宋体" w:hAnsi="宋体"/>
                <w:color w:val="000000"/>
                <w:szCs w:val="21"/>
              </w:rPr>
            </w:pPr>
          </w:p>
        </w:tc>
      </w:tr>
      <w:tr w14:paraId="0BE8C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0EFA08B4">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42</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B26D8CA">
            <w:pPr>
              <w:spacing w:before="120"/>
              <w:rPr>
                <w:rFonts w:ascii="宋体" w:hAnsi="宋体"/>
                <w:color w:val="000000"/>
                <w:szCs w:val="21"/>
              </w:rPr>
            </w:pPr>
            <w:r>
              <w:rPr>
                <w:rFonts w:hint="eastAsia" w:ascii="宋体" w:hAnsi="宋体"/>
                <w:color w:val="000000"/>
                <w:szCs w:val="21"/>
              </w:rPr>
              <w:t>防护等级</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1E78F20">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A9EDF3F">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C9BD5E2">
            <w:pPr>
              <w:spacing w:before="120"/>
              <w:jc w:val="center"/>
              <w:rPr>
                <w:rFonts w:ascii="宋体" w:hAnsi="宋体"/>
                <w:color w:val="000000"/>
                <w:szCs w:val="21"/>
              </w:rPr>
            </w:pPr>
          </w:p>
        </w:tc>
      </w:tr>
      <w:tr w14:paraId="0FA96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3B5CC9D6">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43</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33501990">
            <w:pPr>
              <w:spacing w:before="120"/>
              <w:rPr>
                <w:rFonts w:ascii="宋体" w:hAnsi="宋体"/>
                <w:color w:val="000000"/>
                <w:szCs w:val="21"/>
              </w:rPr>
            </w:pPr>
            <w:r>
              <w:rPr>
                <w:rFonts w:hint="eastAsia" w:ascii="宋体" w:hAnsi="宋体"/>
                <w:color w:val="000000"/>
                <w:szCs w:val="21"/>
              </w:rPr>
              <w:t>操作键盘</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3CC2A36">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35865CE">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9667A1F">
            <w:pPr>
              <w:spacing w:before="120"/>
              <w:jc w:val="center"/>
              <w:rPr>
                <w:rFonts w:ascii="宋体" w:hAnsi="宋体"/>
                <w:color w:val="000000"/>
                <w:szCs w:val="21"/>
              </w:rPr>
            </w:pPr>
          </w:p>
        </w:tc>
      </w:tr>
      <w:tr w14:paraId="4D1A2D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7DED8FAC">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44</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3A5166FF">
            <w:pPr>
              <w:spacing w:before="120"/>
              <w:rPr>
                <w:rFonts w:ascii="宋体" w:hAnsi="宋体"/>
                <w:color w:val="000000"/>
                <w:szCs w:val="21"/>
              </w:rPr>
            </w:pPr>
            <w:r>
              <w:rPr>
                <w:rFonts w:hint="eastAsia" w:ascii="宋体" w:hAnsi="宋体"/>
                <w:color w:val="000000"/>
                <w:szCs w:val="21"/>
              </w:rPr>
              <w:t>界面语言</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F2EF54F">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14A5F72">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2BDE0B1">
            <w:pPr>
              <w:spacing w:before="120"/>
              <w:jc w:val="center"/>
              <w:rPr>
                <w:rFonts w:ascii="宋体" w:hAnsi="宋体"/>
                <w:color w:val="000000"/>
                <w:szCs w:val="21"/>
              </w:rPr>
            </w:pPr>
          </w:p>
        </w:tc>
      </w:tr>
      <w:tr w14:paraId="567B6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151F7C6F">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45</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0DDB5AAE">
            <w:pPr>
              <w:spacing w:before="120"/>
              <w:rPr>
                <w:rFonts w:ascii="宋体" w:hAnsi="宋体"/>
                <w:color w:val="000000"/>
                <w:szCs w:val="21"/>
              </w:rPr>
            </w:pPr>
            <w:r>
              <w:rPr>
                <w:rFonts w:hint="eastAsia" w:ascii="宋体" w:hAnsi="宋体"/>
                <w:color w:val="000000"/>
                <w:szCs w:val="21"/>
              </w:rPr>
              <w:t>变频装置外形尺寸</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D3D795F">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A01F237">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BAA7016">
            <w:pPr>
              <w:spacing w:before="120"/>
              <w:jc w:val="center"/>
              <w:rPr>
                <w:rFonts w:ascii="宋体" w:hAnsi="宋体"/>
                <w:color w:val="000000"/>
                <w:szCs w:val="21"/>
              </w:rPr>
            </w:pPr>
          </w:p>
        </w:tc>
      </w:tr>
      <w:tr w14:paraId="34534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2B330AE1">
            <w:pPr>
              <w:spacing w:before="120"/>
              <w:jc w:val="center"/>
              <w:rPr>
                <w:rFonts w:hint="eastAsia" w:ascii="宋体" w:hAnsi="宋体"/>
                <w:color w:val="000000"/>
                <w:kern w:val="2"/>
                <w:sz w:val="21"/>
                <w:szCs w:val="21"/>
                <w:lang w:val="en-US" w:eastAsia="zh-CN" w:bidi="ar-SA"/>
              </w:rPr>
            </w:pPr>
            <w:r>
              <w:rPr>
                <w:rFonts w:hint="eastAsia" w:ascii="宋体" w:hAnsi="宋体"/>
                <w:color w:val="000000"/>
                <w:szCs w:val="21"/>
              </w:rPr>
              <w:t>46</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1C6E6AA">
            <w:pPr>
              <w:spacing w:before="120"/>
              <w:rPr>
                <w:rFonts w:ascii="宋体" w:hAnsi="宋体"/>
                <w:color w:val="000000"/>
                <w:szCs w:val="21"/>
              </w:rPr>
            </w:pPr>
            <w:r>
              <w:rPr>
                <w:rFonts w:hint="eastAsia" w:ascii="宋体" w:hAnsi="宋体"/>
                <w:color w:val="000000"/>
                <w:szCs w:val="21"/>
              </w:rPr>
              <w:t>变频装置重量</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464B763">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DF490CA">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D9253F0">
            <w:pPr>
              <w:spacing w:before="120"/>
              <w:jc w:val="center"/>
              <w:rPr>
                <w:rFonts w:ascii="宋体" w:hAnsi="宋体"/>
                <w:color w:val="000000"/>
                <w:szCs w:val="21"/>
              </w:rPr>
            </w:pPr>
          </w:p>
        </w:tc>
      </w:tr>
      <w:tr w14:paraId="495F5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3A6E8FB6">
            <w:pPr>
              <w:spacing w:before="120"/>
              <w:jc w:val="center"/>
              <w:rPr>
                <w:rFonts w:hint="default" w:ascii="宋体" w:hAnsi="宋体" w:eastAsia="宋体"/>
                <w:color w:val="000000"/>
                <w:szCs w:val="21"/>
                <w:lang w:val="en-US" w:eastAsia="zh-CN"/>
              </w:rPr>
            </w:pPr>
            <w:r>
              <w:rPr>
                <w:rFonts w:hint="eastAsia" w:ascii="宋体" w:hAnsi="宋体"/>
                <w:color w:val="000000"/>
                <w:szCs w:val="21"/>
                <w:lang w:val="en-US" w:eastAsia="zh-CN"/>
              </w:rPr>
              <w:t>47</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1D5E87B5">
            <w:pPr>
              <w:spacing w:before="120"/>
              <w:rPr>
                <w:rFonts w:ascii="宋体" w:hAnsi="宋体"/>
                <w:color w:val="000000"/>
                <w:szCs w:val="21"/>
              </w:rPr>
            </w:pPr>
            <w:r>
              <w:rPr>
                <w:rFonts w:hint="eastAsia" w:ascii="宋体" w:hAnsi="宋体"/>
                <w:color w:val="000000"/>
                <w:szCs w:val="21"/>
              </w:rPr>
              <w:t>盘前维护或盘后维护</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54E8873">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B33617E">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512BEC0">
            <w:pPr>
              <w:spacing w:before="120"/>
              <w:jc w:val="center"/>
              <w:rPr>
                <w:rFonts w:ascii="宋体" w:hAnsi="宋体"/>
                <w:color w:val="000000"/>
                <w:szCs w:val="21"/>
              </w:rPr>
            </w:pPr>
          </w:p>
        </w:tc>
      </w:tr>
      <w:tr w14:paraId="5A2CA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11F1F8CB">
            <w:pPr>
              <w:spacing w:before="120"/>
              <w:jc w:val="center"/>
              <w:rPr>
                <w:rFonts w:hint="default" w:ascii="宋体" w:hAnsi="宋体" w:eastAsia="宋体"/>
                <w:color w:val="000000"/>
                <w:szCs w:val="21"/>
                <w:lang w:val="en-US" w:eastAsia="zh-CN"/>
              </w:rPr>
            </w:pPr>
            <w:r>
              <w:rPr>
                <w:rFonts w:hint="eastAsia" w:ascii="宋体" w:hAnsi="宋体"/>
                <w:color w:val="000000"/>
                <w:szCs w:val="21"/>
                <w:lang w:val="en-US" w:eastAsia="zh-CN"/>
              </w:rPr>
              <w:t>48</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83444BB">
            <w:pPr>
              <w:spacing w:before="120"/>
              <w:rPr>
                <w:rFonts w:ascii="宋体" w:hAnsi="宋体"/>
                <w:color w:val="000000"/>
                <w:szCs w:val="21"/>
              </w:rPr>
            </w:pPr>
            <w:r>
              <w:rPr>
                <w:rFonts w:hint="eastAsia" w:ascii="宋体" w:hAnsi="宋体"/>
                <w:color w:val="000000"/>
                <w:szCs w:val="21"/>
              </w:rPr>
              <w:t>是否需要输出滤波器</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812EB75">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B26691B">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FBEEEB4">
            <w:pPr>
              <w:spacing w:before="120"/>
              <w:jc w:val="center"/>
              <w:rPr>
                <w:rFonts w:ascii="宋体" w:hAnsi="宋体"/>
                <w:color w:val="000000"/>
                <w:szCs w:val="21"/>
              </w:rPr>
            </w:pPr>
          </w:p>
        </w:tc>
      </w:tr>
      <w:tr w14:paraId="068EC7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4F8BE98F">
            <w:pPr>
              <w:spacing w:before="120"/>
              <w:jc w:val="center"/>
              <w:rPr>
                <w:rFonts w:hint="default" w:ascii="宋体" w:hAnsi="宋体" w:eastAsia="宋体"/>
                <w:color w:val="000000"/>
                <w:szCs w:val="21"/>
                <w:lang w:val="en-US" w:eastAsia="zh-CN"/>
              </w:rPr>
            </w:pPr>
            <w:r>
              <w:rPr>
                <w:rFonts w:hint="eastAsia" w:ascii="宋体" w:hAnsi="宋体"/>
                <w:color w:val="000000"/>
                <w:szCs w:val="21"/>
                <w:lang w:val="en-US" w:eastAsia="zh-CN"/>
              </w:rPr>
              <w:t>49</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4C3A0F0">
            <w:pPr>
              <w:spacing w:before="120"/>
              <w:rPr>
                <w:rFonts w:ascii="宋体" w:hAnsi="宋体"/>
                <w:color w:val="000000"/>
                <w:szCs w:val="21"/>
              </w:rPr>
            </w:pPr>
            <w:r>
              <w:rPr>
                <w:rFonts w:hint="eastAsia" w:ascii="宋体" w:hAnsi="宋体"/>
                <w:color w:val="000000"/>
                <w:szCs w:val="21"/>
              </w:rPr>
              <w:t>是否提供输出滤波器</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C9D3AF9">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21DAF6A">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E5C19A2">
            <w:pPr>
              <w:spacing w:before="120"/>
              <w:jc w:val="center"/>
              <w:rPr>
                <w:rFonts w:ascii="宋体" w:hAnsi="宋体"/>
                <w:color w:val="000000"/>
                <w:szCs w:val="21"/>
              </w:rPr>
            </w:pPr>
          </w:p>
        </w:tc>
      </w:tr>
      <w:tr w14:paraId="5DE4A2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6D8B1B57">
            <w:pPr>
              <w:spacing w:before="120"/>
              <w:jc w:val="center"/>
              <w:rPr>
                <w:rFonts w:hint="default" w:ascii="宋体" w:hAnsi="宋体" w:eastAsia="宋体"/>
                <w:color w:val="000000"/>
                <w:szCs w:val="21"/>
                <w:lang w:val="en-US" w:eastAsia="zh-CN"/>
              </w:rPr>
            </w:pPr>
            <w:r>
              <w:rPr>
                <w:rFonts w:hint="eastAsia" w:ascii="宋体" w:hAnsi="宋体"/>
                <w:color w:val="000000"/>
                <w:szCs w:val="21"/>
                <w:lang w:val="en-US" w:eastAsia="zh-CN"/>
              </w:rPr>
              <w:t>50</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5059849F">
            <w:pPr>
              <w:spacing w:before="120"/>
              <w:rPr>
                <w:rFonts w:ascii="宋体" w:hAnsi="宋体"/>
                <w:color w:val="000000"/>
                <w:szCs w:val="21"/>
              </w:rPr>
            </w:pPr>
            <w:r>
              <w:rPr>
                <w:rFonts w:hint="eastAsia" w:ascii="宋体" w:hAnsi="宋体"/>
                <w:color w:val="000000"/>
                <w:szCs w:val="21"/>
              </w:rPr>
              <w:t>售后服务的承诺</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3CE4713">
            <w:pPr>
              <w:spacing w:before="120"/>
              <w:jc w:val="center"/>
              <w:rPr>
                <w:rFonts w:ascii="宋体" w:hAnsi="宋体"/>
                <w:color w:val="00000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0E1C284">
            <w:pPr>
              <w:spacing w:before="120"/>
              <w:jc w:val="center"/>
              <w:rPr>
                <w:rFonts w:ascii="宋体" w:hAnsi="宋体"/>
                <w:color w:val="000000"/>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E6EAACE">
            <w:pPr>
              <w:spacing w:before="120"/>
              <w:jc w:val="center"/>
              <w:rPr>
                <w:rFonts w:ascii="宋体" w:hAnsi="宋体"/>
                <w:color w:val="000000"/>
                <w:szCs w:val="21"/>
              </w:rPr>
            </w:pPr>
          </w:p>
        </w:tc>
      </w:tr>
    </w:tbl>
    <w:p w14:paraId="71DCBD9E">
      <w:pPr>
        <w:spacing w:line="360" w:lineRule="auto"/>
        <w:rPr>
          <w:rFonts w:hint="eastAsia" w:ascii="宋体" w:hAnsi="宋体"/>
          <w:color w:val="000000"/>
          <w:szCs w:val="21"/>
        </w:rPr>
      </w:pPr>
    </w:p>
    <w:p w14:paraId="32B65367">
      <w:pPr>
        <w:spacing w:line="360" w:lineRule="auto"/>
        <w:rPr>
          <w:rFonts w:hint="eastAsia" w:ascii="宋体" w:hAnsi="宋体"/>
          <w:color w:val="000000"/>
          <w:szCs w:val="21"/>
        </w:rPr>
      </w:pPr>
      <w:r>
        <w:rPr>
          <w:rFonts w:hint="eastAsia" w:ascii="宋体" w:hAnsi="宋体"/>
          <w:color w:val="000000"/>
          <w:szCs w:val="21"/>
        </w:rPr>
        <w:t>4.2投标商在投标阶段应提供下列图纸：</w:t>
      </w:r>
    </w:p>
    <w:p w14:paraId="018CCF14">
      <w:pPr>
        <w:numPr>
          <w:ilvl w:val="0"/>
          <w:numId w:val="0"/>
        </w:numPr>
        <w:spacing w:line="360" w:lineRule="auto"/>
        <w:rPr>
          <w:rFonts w:hint="default" w:ascii="宋体" w:hAnsi="宋体" w:eastAsia="宋体"/>
          <w:color w:val="000000"/>
          <w:szCs w:val="21"/>
          <w:lang w:val="en-US" w:eastAsia="zh-CN"/>
        </w:rPr>
      </w:pPr>
      <w:r>
        <w:rPr>
          <w:rFonts w:hint="eastAsia" w:ascii="宋体" w:hAnsi="宋体"/>
          <w:color w:val="000000"/>
          <w:szCs w:val="21"/>
          <w:lang w:val="en-US" w:eastAsia="zh-CN"/>
        </w:rPr>
        <w:t>1）本次改造设计说明，</w:t>
      </w:r>
      <w:r>
        <w:rPr>
          <w:rFonts w:hint="eastAsia" w:ascii="宋体" w:hAnsi="宋体"/>
          <w:color w:val="000000"/>
          <w:szCs w:val="21"/>
        </w:rPr>
        <w:t>变频调速装置</w:t>
      </w:r>
      <w:r>
        <w:rPr>
          <w:rFonts w:hint="eastAsia" w:ascii="宋体" w:hAnsi="宋体"/>
          <w:color w:val="000000"/>
          <w:szCs w:val="21"/>
          <w:lang w:val="en-US" w:eastAsia="zh-CN"/>
        </w:rPr>
        <w:t>及配套设施（预制舱）现场安装位置示意</w:t>
      </w:r>
      <w:r>
        <w:rPr>
          <w:rFonts w:hint="eastAsia" w:ascii="宋体" w:hAnsi="宋体"/>
          <w:color w:val="000000"/>
          <w:szCs w:val="21"/>
        </w:rPr>
        <w:t>图</w:t>
      </w:r>
      <w:r>
        <w:rPr>
          <w:rFonts w:hint="eastAsia" w:ascii="宋体" w:hAnsi="宋体"/>
          <w:color w:val="000000"/>
          <w:szCs w:val="21"/>
          <w:lang w:eastAsia="zh-CN"/>
        </w:rPr>
        <w:t>。</w:t>
      </w:r>
    </w:p>
    <w:p w14:paraId="14EDE7DE">
      <w:pPr>
        <w:keepNext w:val="0"/>
        <w:keepLines w:val="0"/>
        <w:pageBreakBefore w:val="0"/>
        <w:widowControl/>
        <w:numPr>
          <w:ilvl w:val="0"/>
          <w:numId w:val="0"/>
        </w:numPr>
        <w:tabs>
          <w:tab w:val="left" w:pos="6019"/>
        </w:tabs>
        <w:kinsoku/>
        <w:wordWrap/>
        <w:overflowPunct/>
        <w:topLinePunct w:val="0"/>
        <w:autoSpaceDE/>
        <w:autoSpaceDN/>
        <w:bidi w:val="0"/>
        <w:adjustRightInd/>
        <w:snapToGrid/>
        <w:spacing w:before="0" w:after="0" w:line="360" w:lineRule="auto"/>
        <w:ind w:right="0" w:rightChars="0"/>
        <w:jc w:val="both"/>
        <w:textAlignment w:val="auto"/>
        <w:rPr>
          <w:rFonts w:hint="eastAsia" w:ascii="宋体" w:hAnsi="宋体" w:eastAsia="宋体" w:cs="宋体"/>
          <w:bCs w:val="0"/>
          <w:i w:val="0"/>
          <w:iCs w:val="0"/>
          <w:color w:val="auto"/>
          <w:sz w:val="21"/>
          <w:szCs w:val="21"/>
          <w:highlight w:val="none"/>
          <w:lang w:val="en-US" w:eastAsia="zh-CN" w:bidi="ar-SA"/>
        </w:rPr>
      </w:pPr>
      <w:r>
        <w:rPr>
          <w:rFonts w:hint="eastAsia" w:ascii="宋体" w:hAnsi="宋体"/>
          <w:color w:val="000000"/>
          <w:szCs w:val="21"/>
          <w:lang w:val="en-US" w:eastAsia="zh-CN"/>
        </w:rPr>
        <w:t>2）</w:t>
      </w:r>
      <w:r>
        <w:rPr>
          <w:rFonts w:hint="eastAsia" w:ascii="宋体" w:hAnsi="宋体" w:eastAsia="宋体" w:cs="宋体"/>
          <w:bCs w:val="0"/>
          <w:i w:val="0"/>
          <w:iCs w:val="0"/>
          <w:color w:val="auto"/>
          <w:sz w:val="21"/>
          <w:szCs w:val="21"/>
          <w:highlight w:val="none"/>
          <w:lang w:val="en-US" w:eastAsia="en-US" w:bidi="ar-SA"/>
        </w:rPr>
        <w:t>变频器设备原理及配置图</w:t>
      </w:r>
      <w:r>
        <w:rPr>
          <w:rFonts w:hint="eastAsia" w:ascii="宋体" w:hAnsi="宋体" w:eastAsia="宋体" w:cs="宋体"/>
          <w:bCs w:val="0"/>
          <w:i w:val="0"/>
          <w:iCs w:val="0"/>
          <w:color w:val="auto"/>
          <w:sz w:val="21"/>
          <w:szCs w:val="21"/>
          <w:highlight w:val="none"/>
          <w:lang w:val="en-US" w:eastAsia="zh-CN" w:bidi="ar-SA"/>
        </w:rPr>
        <w:t>，</w:t>
      </w:r>
      <w:r>
        <w:rPr>
          <w:rFonts w:hint="eastAsia" w:ascii="宋体" w:hAnsi="宋体"/>
          <w:color w:val="000000"/>
          <w:szCs w:val="21"/>
          <w:lang w:val="en-US" w:eastAsia="zh-CN"/>
        </w:rPr>
        <w:t>电气设备一次系统图；</w:t>
      </w:r>
    </w:p>
    <w:p w14:paraId="2D88F775">
      <w:pPr>
        <w:numPr>
          <w:ilvl w:val="0"/>
          <w:numId w:val="0"/>
        </w:numPr>
        <w:spacing w:line="360" w:lineRule="auto"/>
        <w:ind w:leftChars="0"/>
        <w:rPr>
          <w:rFonts w:hint="eastAsia"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变频调速装置</w:t>
      </w:r>
      <w:r>
        <w:rPr>
          <w:rFonts w:hint="eastAsia" w:ascii="宋体" w:hAnsi="宋体"/>
          <w:color w:val="000000"/>
          <w:szCs w:val="21"/>
          <w:lang w:val="en-US" w:eastAsia="zh-CN"/>
        </w:rPr>
        <w:t>及配套设施（预制舱）</w:t>
      </w:r>
      <w:r>
        <w:rPr>
          <w:rFonts w:hint="eastAsia" w:ascii="宋体" w:hAnsi="宋体"/>
          <w:color w:val="000000"/>
          <w:szCs w:val="21"/>
        </w:rPr>
        <w:t>的外形布置图</w:t>
      </w:r>
      <w:r>
        <w:rPr>
          <w:rFonts w:hint="eastAsia" w:ascii="宋体" w:hAnsi="宋体"/>
          <w:color w:val="000000"/>
          <w:szCs w:val="21"/>
          <w:lang w:eastAsia="zh-CN"/>
        </w:rPr>
        <w:t>、</w:t>
      </w:r>
      <w:r>
        <w:rPr>
          <w:rFonts w:hint="eastAsia" w:ascii="宋体" w:hAnsi="宋体"/>
          <w:color w:val="000000"/>
          <w:szCs w:val="21"/>
        </w:rPr>
        <w:t>基础图：标明设备及其</w:t>
      </w:r>
      <w:r>
        <w:rPr>
          <w:rFonts w:hint="eastAsia" w:ascii="宋体" w:hAnsi="宋体"/>
          <w:color w:val="000000"/>
          <w:szCs w:val="21"/>
          <w:lang w:val="en-US" w:eastAsia="zh-CN"/>
        </w:rPr>
        <w:t>固定</w:t>
      </w:r>
      <w:r>
        <w:rPr>
          <w:rFonts w:hint="eastAsia" w:ascii="宋体" w:hAnsi="宋体"/>
          <w:color w:val="000000"/>
          <w:szCs w:val="21"/>
        </w:rPr>
        <w:t>螺栓的位置和尺寸；作用于设备基础的静态力；接地螺栓的位置和尺寸等。</w:t>
      </w:r>
    </w:p>
    <w:p w14:paraId="1DE049BA">
      <w:pPr>
        <w:numPr>
          <w:ilvl w:val="0"/>
          <w:numId w:val="0"/>
        </w:numPr>
        <w:spacing w:line="360" w:lineRule="auto"/>
        <w:rPr>
          <w:rFonts w:hint="default" w:ascii="宋体" w:hAnsi="宋体" w:eastAsia="宋体"/>
          <w:color w:val="000000"/>
          <w:szCs w:val="21"/>
          <w:lang w:val="en-US" w:eastAsia="zh-CN"/>
        </w:rPr>
      </w:pPr>
    </w:p>
    <w:p w14:paraId="7BE8CE08">
      <w:pPr>
        <w:pStyle w:val="27"/>
        <w:ind w:firstLine="525"/>
        <w:rPr>
          <w:rFonts w:hint="eastAsia" w:hAnsi="宋体"/>
          <w:color w:val="000000"/>
          <w:szCs w:val="21"/>
        </w:rPr>
      </w:pPr>
    </w:p>
    <w:p w14:paraId="6C556B4F">
      <w:pPr>
        <w:pStyle w:val="27"/>
        <w:ind w:firstLine="525"/>
        <w:rPr>
          <w:rFonts w:hint="eastAsia" w:hAnsi="宋体"/>
          <w:color w:val="FF0000"/>
          <w:szCs w:val="21"/>
        </w:rPr>
      </w:pPr>
    </w:p>
    <w:p w14:paraId="43508875">
      <w:pPr>
        <w:pStyle w:val="27"/>
        <w:ind w:firstLine="525"/>
        <w:rPr>
          <w:rFonts w:hint="eastAsia" w:hAnsi="宋体"/>
          <w:color w:val="FF0000"/>
          <w:szCs w:val="21"/>
        </w:rPr>
      </w:pPr>
    </w:p>
    <w:p w14:paraId="1A47D4F6">
      <w:pPr>
        <w:tabs>
          <w:tab w:val="left" w:pos="923"/>
        </w:tabs>
        <w:bidi w:val="0"/>
        <w:jc w:val="left"/>
        <w:rPr>
          <w:rFonts w:hint="eastAsia" w:eastAsia="宋体"/>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588" w:right="1474" w:bottom="1474" w:left="1588" w:header="851" w:footer="992" w:gutter="0"/>
          <w:cols w:space="720" w:num="1"/>
          <w:docGrid w:type="linesAndChars" w:linePitch="312" w:charSpace="0"/>
        </w:sectPr>
      </w:pPr>
    </w:p>
    <w:p w14:paraId="1004A48F">
      <w:pPr>
        <w:pStyle w:val="2"/>
        <w:rPr>
          <w:rFonts w:hint="eastAsia"/>
          <w:sz w:val="21"/>
          <w:szCs w:val="21"/>
        </w:rPr>
      </w:pPr>
      <w:bookmarkStart w:id="16" w:name="_Toc264037160"/>
      <w:r>
        <w:rPr>
          <w:rFonts w:hint="eastAsia"/>
          <w:sz w:val="21"/>
          <w:szCs w:val="21"/>
        </w:rPr>
        <w:t>附件2  供货范围</w:t>
      </w:r>
      <w:bookmarkEnd w:id="16"/>
    </w:p>
    <w:p w14:paraId="7F652826">
      <w:pPr>
        <w:pStyle w:val="5"/>
        <w:spacing w:before="120" w:after="0" w:line="360" w:lineRule="auto"/>
        <w:rPr>
          <w:rFonts w:ascii="宋体" w:hAnsi="宋体"/>
          <w:b w:val="0"/>
          <w:color w:val="000000"/>
          <w:sz w:val="21"/>
          <w:szCs w:val="21"/>
        </w:rPr>
      </w:pPr>
      <w:r>
        <w:rPr>
          <w:rFonts w:ascii="宋体" w:hAnsi="宋体"/>
          <w:b w:val="0"/>
          <w:color w:val="000000"/>
          <w:sz w:val="21"/>
          <w:szCs w:val="21"/>
        </w:rPr>
        <w:t xml:space="preserve">1 </w:t>
      </w:r>
      <w:r>
        <w:rPr>
          <w:rFonts w:hint="eastAsia" w:ascii="宋体" w:hAnsi="宋体"/>
          <w:b w:val="0"/>
          <w:color w:val="000000"/>
          <w:sz w:val="21"/>
          <w:szCs w:val="21"/>
        </w:rPr>
        <w:t>一般要求</w:t>
      </w:r>
    </w:p>
    <w:p w14:paraId="567AB6A0">
      <w:pPr>
        <w:rPr>
          <w:rFonts w:ascii="宋体" w:hAnsi="宋体"/>
          <w:color w:val="000000"/>
          <w:spacing w:val="5"/>
          <w:szCs w:val="21"/>
        </w:rPr>
      </w:pPr>
      <w:r>
        <w:rPr>
          <w:rFonts w:ascii="宋体" w:hAnsi="宋体"/>
          <w:color w:val="000000"/>
          <w:spacing w:val="5"/>
          <w:szCs w:val="21"/>
        </w:rPr>
        <w:t xml:space="preserve">1.1 </w:t>
      </w:r>
      <w:r>
        <w:rPr>
          <w:rFonts w:hint="eastAsia" w:ascii="宋体" w:hAnsi="宋体"/>
          <w:color w:val="000000"/>
          <w:spacing w:val="5"/>
          <w:szCs w:val="21"/>
        </w:rPr>
        <w:t xml:space="preserve"> 本附件规定了合同设备的供货范围。投标方保证提供设备为全新的、先进的、成熟的、完整的和安全可靠的，且设备的技术经济性能符合附件</w:t>
      </w:r>
      <w:r>
        <w:rPr>
          <w:rFonts w:ascii="宋体" w:hAnsi="宋体"/>
          <w:color w:val="000000"/>
          <w:spacing w:val="5"/>
          <w:szCs w:val="21"/>
        </w:rPr>
        <w:t>1</w:t>
      </w:r>
      <w:r>
        <w:rPr>
          <w:rFonts w:hint="eastAsia" w:ascii="宋体" w:hAnsi="宋体"/>
          <w:color w:val="000000"/>
          <w:spacing w:val="5"/>
          <w:szCs w:val="21"/>
        </w:rPr>
        <w:t>的要求。</w:t>
      </w:r>
    </w:p>
    <w:p w14:paraId="5171EA39">
      <w:pPr>
        <w:rPr>
          <w:rFonts w:ascii="宋体" w:hAnsi="宋体"/>
          <w:color w:val="000000"/>
          <w:spacing w:val="5"/>
          <w:szCs w:val="21"/>
        </w:rPr>
      </w:pPr>
      <w:r>
        <w:rPr>
          <w:rFonts w:ascii="宋体" w:hAnsi="宋体"/>
          <w:color w:val="000000"/>
          <w:spacing w:val="5"/>
          <w:szCs w:val="21"/>
        </w:rPr>
        <w:t xml:space="preserve">1.2 </w:t>
      </w:r>
      <w:r>
        <w:rPr>
          <w:rFonts w:hint="eastAsia" w:ascii="宋体" w:hAnsi="宋体"/>
          <w:color w:val="000000"/>
          <w:spacing w:val="5"/>
          <w:szCs w:val="21"/>
        </w:rPr>
        <w:t xml:space="preserve"> 投标方应提供详细供货清单，清单中依次说明型号、数量、产地、生产厂家等内容。对于属于整套设备正常运行和施工所必需的部件，如果本合同附件未列出和</w:t>
      </w:r>
      <w:r>
        <w:rPr>
          <w:rFonts w:ascii="宋体" w:hAnsi="宋体"/>
          <w:color w:val="000000"/>
          <w:spacing w:val="5"/>
          <w:szCs w:val="21"/>
        </w:rPr>
        <w:t>/</w:t>
      </w:r>
      <w:r>
        <w:rPr>
          <w:rFonts w:hint="eastAsia" w:ascii="宋体" w:hAnsi="宋体"/>
          <w:color w:val="000000"/>
          <w:spacing w:val="5"/>
          <w:szCs w:val="21"/>
        </w:rPr>
        <w:t>或数量不足，投标方仍需在执行合同时免费补足。</w:t>
      </w:r>
    </w:p>
    <w:p w14:paraId="22EE467F">
      <w:pPr>
        <w:rPr>
          <w:rFonts w:ascii="宋体" w:hAnsi="宋体"/>
          <w:color w:val="000000"/>
          <w:spacing w:val="5"/>
          <w:szCs w:val="21"/>
        </w:rPr>
      </w:pPr>
      <w:r>
        <w:rPr>
          <w:rFonts w:ascii="宋体" w:hAnsi="宋体"/>
          <w:color w:val="000000"/>
          <w:spacing w:val="5"/>
          <w:szCs w:val="21"/>
        </w:rPr>
        <w:t>1.3</w:t>
      </w:r>
      <w:r>
        <w:rPr>
          <w:rFonts w:hint="eastAsia" w:ascii="宋体" w:hAnsi="宋体"/>
          <w:color w:val="000000"/>
          <w:spacing w:val="5"/>
          <w:szCs w:val="21"/>
        </w:rPr>
        <w:t xml:space="preserve">  投标方应提供所有安装和检修所需专用工具和消耗材料等，并提供详细供货清单。</w:t>
      </w:r>
    </w:p>
    <w:p w14:paraId="00785F4D">
      <w:pPr>
        <w:rPr>
          <w:rFonts w:ascii="宋体" w:hAnsi="宋体"/>
          <w:color w:val="auto"/>
          <w:spacing w:val="5"/>
          <w:szCs w:val="21"/>
          <w:highlight w:val="none"/>
        </w:rPr>
      </w:pPr>
      <w:r>
        <w:rPr>
          <w:rFonts w:ascii="宋体" w:hAnsi="宋体"/>
          <w:color w:val="auto"/>
          <w:spacing w:val="5"/>
          <w:szCs w:val="21"/>
          <w:highlight w:val="none"/>
        </w:rPr>
        <w:t>1.4</w:t>
      </w:r>
      <w:r>
        <w:rPr>
          <w:rFonts w:hint="eastAsia" w:ascii="宋体" w:hAnsi="宋体"/>
          <w:color w:val="auto"/>
          <w:spacing w:val="5"/>
          <w:szCs w:val="21"/>
          <w:highlight w:val="none"/>
        </w:rPr>
        <w:t xml:space="preserve">  提供随机备品备件，并在投标书中给出具体清单。</w:t>
      </w:r>
    </w:p>
    <w:p w14:paraId="51EC4A2B">
      <w:pPr>
        <w:rPr>
          <w:rFonts w:hint="eastAsia" w:ascii="宋体" w:hAnsi="宋体"/>
          <w:color w:val="auto"/>
          <w:spacing w:val="5"/>
          <w:szCs w:val="21"/>
          <w:highlight w:val="none"/>
        </w:rPr>
      </w:pPr>
      <w:r>
        <w:rPr>
          <w:rFonts w:ascii="宋体" w:hAnsi="宋体"/>
          <w:color w:val="auto"/>
          <w:spacing w:val="5"/>
          <w:szCs w:val="21"/>
          <w:highlight w:val="none"/>
        </w:rPr>
        <w:t>1.5</w:t>
      </w:r>
      <w:r>
        <w:rPr>
          <w:rFonts w:hint="eastAsia" w:ascii="宋体" w:hAnsi="宋体"/>
          <w:color w:val="auto"/>
          <w:spacing w:val="5"/>
          <w:szCs w:val="21"/>
          <w:highlight w:val="none"/>
        </w:rPr>
        <w:t xml:space="preserve">  </w:t>
      </w:r>
      <w:r>
        <w:rPr>
          <w:rFonts w:hint="eastAsia" w:ascii="宋体" w:hAnsi="宋体"/>
          <w:color w:val="auto"/>
          <w:spacing w:val="5"/>
          <w:szCs w:val="21"/>
          <w:highlight w:val="none"/>
          <w:lang w:val="en-US" w:eastAsia="zh-CN"/>
        </w:rPr>
        <w:t>投标方</w:t>
      </w:r>
      <w:r>
        <w:rPr>
          <w:rFonts w:hint="eastAsia" w:ascii="宋体" w:hAnsi="宋体"/>
          <w:color w:val="auto"/>
          <w:spacing w:val="5"/>
          <w:szCs w:val="21"/>
          <w:highlight w:val="none"/>
        </w:rPr>
        <w:t>所供</w:t>
      </w:r>
      <w:r>
        <w:rPr>
          <w:rFonts w:hint="eastAsia" w:ascii="宋体" w:hAnsi="宋体"/>
          <w:color w:val="auto"/>
          <w:spacing w:val="5"/>
          <w:szCs w:val="21"/>
          <w:highlight w:val="none"/>
          <w:lang w:val="en-US" w:eastAsia="zh-CN"/>
        </w:rPr>
        <w:t>全部</w:t>
      </w:r>
      <w:r>
        <w:rPr>
          <w:rFonts w:hint="eastAsia" w:ascii="宋体" w:hAnsi="宋体"/>
          <w:color w:val="auto"/>
          <w:spacing w:val="5"/>
          <w:szCs w:val="21"/>
          <w:highlight w:val="none"/>
        </w:rPr>
        <w:t>设备</w:t>
      </w:r>
      <w:r>
        <w:rPr>
          <w:rFonts w:hint="eastAsia" w:ascii="宋体" w:hAnsi="宋体"/>
          <w:color w:val="auto"/>
          <w:spacing w:val="5"/>
          <w:szCs w:val="21"/>
          <w:highlight w:val="none"/>
          <w:lang w:val="en-US" w:eastAsia="zh-CN"/>
        </w:rPr>
        <w:t>及安装施工质量要求质保不低于2年，从设备投运验收开始计时</w:t>
      </w:r>
      <w:r>
        <w:rPr>
          <w:rFonts w:hint="eastAsia" w:ascii="宋体" w:hAnsi="宋体"/>
          <w:color w:val="auto"/>
          <w:spacing w:val="5"/>
          <w:szCs w:val="21"/>
          <w:highlight w:val="none"/>
        </w:rPr>
        <w:t>。</w:t>
      </w:r>
    </w:p>
    <w:p w14:paraId="004B4678">
      <w:pPr>
        <w:pStyle w:val="26"/>
        <w:rPr>
          <w:rFonts w:hint="eastAsia" w:eastAsia="宋体"/>
          <w:color w:val="auto"/>
          <w:highlight w:val="none"/>
          <w:lang w:val="en-US" w:eastAsia="zh-CN"/>
        </w:rPr>
      </w:pPr>
      <w:r>
        <w:rPr>
          <w:rFonts w:hint="eastAsia" w:ascii="宋体" w:hAnsi="宋体"/>
          <w:color w:val="auto"/>
          <w:spacing w:val="5"/>
          <w:szCs w:val="21"/>
          <w:highlight w:val="none"/>
          <w:lang w:val="en-US" w:eastAsia="zh-CN"/>
        </w:rPr>
        <w:t>预制舱本体单独质保不低于10年</w:t>
      </w:r>
    </w:p>
    <w:p w14:paraId="5DF96553">
      <w:pPr>
        <w:pStyle w:val="5"/>
        <w:spacing w:before="120" w:after="0" w:line="24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2、供货范围</w:t>
      </w:r>
    </w:p>
    <w:p w14:paraId="0CEB07FB">
      <w:pPr>
        <w:ind w:firstLine="560"/>
        <w:rPr>
          <w:rFonts w:hint="eastAsia" w:ascii="宋体" w:hAnsi="宋体"/>
          <w:color w:val="auto"/>
          <w:spacing w:val="5"/>
          <w:szCs w:val="21"/>
          <w:highlight w:val="none"/>
        </w:rPr>
      </w:pPr>
      <w:r>
        <w:rPr>
          <w:rFonts w:hint="eastAsia" w:ascii="宋体" w:hAnsi="宋体"/>
          <w:color w:val="auto"/>
          <w:szCs w:val="21"/>
          <w:highlight w:val="none"/>
        </w:rPr>
        <w:t>投标方应确保</w:t>
      </w:r>
      <w:r>
        <w:rPr>
          <w:rFonts w:hint="eastAsia" w:ascii="宋体" w:hAnsi="宋体"/>
          <w:color w:val="auto"/>
          <w:spacing w:val="5"/>
          <w:szCs w:val="21"/>
          <w:highlight w:val="none"/>
        </w:rPr>
        <w:t>合同范围完整，应满足招标方对安装、</w:t>
      </w:r>
      <w:r>
        <w:rPr>
          <w:rFonts w:hint="eastAsia" w:ascii="宋体" w:hAnsi="宋体"/>
          <w:color w:val="auto"/>
          <w:szCs w:val="21"/>
          <w:highlight w:val="none"/>
        </w:rPr>
        <w:t>调试、</w:t>
      </w:r>
      <w:r>
        <w:rPr>
          <w:rFonts w:hint="eastAsia" w:ascii="宋体" w:hAnsi="宋体"/>
          <w:color w:val="auto"/>
          <w:spacing w:val="5"/>
          <w:szCs w:val="21"/>
          <w:highlight w:val="none"/>
        </w:rPr>
        <w:t>运行和设备性能的要求，</w:t>
      </w:r>
      <w:r>
        <w:rPr>
          <w:rFonts w:hint="eastAsia" w:ascii="宋体" w:hAnsi="宋体"/>
          <w:color w:val="auto"/>
          <w:szCs w:val="21"/>
          <w:highlight w:val="none"/>
        </w:rPr>
        <w:t>并提供保证设备安装、调试、投运相关的现场技术服务和配合。</w:t>
      </w:r>
      <w:r>
        <w:rPr>
          <w:rFonts w:hint="eastAsia" w:ascii="宋体" w:hAnsi="宋体"/>
          <w:color w:val="auto"/>
          <w:spacing w:val="5"/>
          <w:szCs w:val="21"/>
          <w:highlight w:val="none"/>
        </w:rPr>
        <w:t>在技术规范中涉及的供货要求也作为本供货范围的补充，</w:t>
      </w:r>
      <w:r>
        <w:rPr>
          <w:rFonts w:hint="eastAsia" w:ascii="宋体" w:hAnsi="宋体"/>
          <w:color w:val="auto"/>
          <w:szCs w:val="21"/>
          <w:highlight w:val="none"/>
        </w:rPr>
        <w:t>若在</w:t>
      </w:r>
      <w:r>
        <w:rPr>
          <w:rFonts w:hint="eastAsia" w:ascii="宋体" w:hAnsi="宋体"/>
          <w:color w:val="auto"/>
          <w:spacing w:val="5"/>
          <w:szCs w:val="21"/>
          <w:highlight w:val="none"/>
        </w:rPr>
        <w:t>安装、</w:t>
      </w:r>
      <w:r>
        <w:rPr>
          <w:rFonts w:hint="eastAsia" w:ascii="宋体" w:hAnsi="宋体"/>
          <w:color w:val="auto"/>
          <w:szCs w:val="21"/>
          <w:highlight w:val="none"/>
        </w:rPr>
        <w:t>调试、</w:t>
      </w:r>
      <w:r>
        <w:rPr>
          <w:rFonts w:hint="eastAsia" w:ascii="宋体" w:hAnsi="宋体"/>
          <w:color w:val="auto"/>
          <w:spacing w:val="5"/>
          <w:szCs w:val="21"/>
          <w:highlight w:val="none"/>
        </w:rPr>
        <w:t xml:space="preserve">运行中发现缺项，投标方应免费补充供货。   </w:t>
      </w:r>
    </w:p>
    <w:p w14:paraId="7FAAB526">
      <w:pPr>
        <w:ind w:firstLine="560"/>
        <w:rPr>
          <w:rFonts w:hint="eastAsia" w:hAnsi="宋体"/>
          <w:color w:val="auto"/>
          <w:szCs w:val="21"/>
          <w:highlight w:val="none"/>
        </w:rPr>
      </w:pPr>
      <w:r>
        <w:rPr>
          <w:rFonts w:hint="eastAsia" w:ascii="宋体" w:hAnsi="宋体"/>
          <w:color w:val="auto"/>
          <w:spacing w:val="5"/>
          <w:szCs w:val="21"/>
          <w:highlight w:val="none"/>
          <w:lang w:eastAsia="zh-CN"/>
        </w:rPr>
        <w:t>#2机组</w:t>
      </w:r>
      <w:r>
        <w:rPr>
          <w:rFonts w:hint="eastAsia" w:ascii="宋体" w:hAnsi="宋体"/>
          <w:color w:val="auto"/>
          <w:spacing w:val="5"/>
          <w:szCs w:val="21"/>
          <w:highlight w:val="none"/>
        </w:rPr>
        <w:t>设</w:t>
      </w:r>
      <w:r>
        <w:rPr>
          <w:rFonts w:hint="eastAsia" w:ascii="宋体" w:hAnsi="宋体"/>
          <w:color w:val="auto"/>
          <w:spacing w:val="5"/>
          <w:szCs w:val="21"/>
          <w:highlight w:val="none"/>
          <w:lang w:val="en-US" w:eastAsia="zh-CN"/>
        </w:rPr>
        <w:t>置1</w:t>
      </w:r>
      <w:r>
        <w:rPr>
          <w:rFonts w:hint="eastAsia" w:ascii="宋体" w:hAnsi="宋体"/>
          <w:color w:val="auto"/>
          <w:spacing w:val="5"/>
          <w:szCs w:val="21"/>
          <w:highlight w:val="none"/>
        </w:rPr>
        <w:t>套完整的</w:t>
      </w:r>
      <w:r>
        <w:rPr>
          <w:rFonts w:hint="eastAsia" w:hAnsi="宋体"/>
          <w:color w:val="auto"/>
          <w:szCs w:val="21"/>
          <w:highlight w:val="none"/>
        </w:rPr>
        <w:t>高压变频调速装置（一拖一），</w:t>
      </w:r>
      <w:r>
        <w:rPr>
          <w:rFonts w:hint="eastAsia" w:ascii="Arial" w:cs="Arial"/>
          <w:color w:val="auto"/>
          <w:szCs w:val="21"/>
          <w:highlight w:val="none"/>
          <w:lang w:val="en-US" w:eastAsia="zh-CN"/>
        </w:rPr>
        <w:t>另外1台循环水泵电机加装高/低速切换刀闸柜（手动）</w:t>
      </w:r>
      <w:r>
        <w:rPr>
          <w:rFonts w:hint="eastAsia" w:ascii="Arial" w:cs="Arial"/>
          <w:color w:val="auto"/>
          <w:szCs w:val="21"/>
          <w:highlight w:val="none"/>
        </w:rPr>
        <w:t>。</w:t>
      </w:r>
    </w:p>
    <w:p w14:paraId="1C3E7A1E">
      <w:pPr>
        <w:ind w:firstLine="560"/>
        <w:rPr>
          <w:rFonts w:hint="eastAsia" w:ascii="宋体" w:hAnsi="宋体"/>
          <w:color w:val="auto"/>
          <w:szCs w:val="21"/>
          <w:highlight w:val="none"/>
        </w:rPr>
      </w:pPr>
      <w:r>
        <w:rPr>
          <w:rFonts w:hint="eastAsia" w:hAnsi="宋体"/>
          <w:color w:val="auto"/>
          <w:szCs w:val="21"/>
          <w:highlight w:val="none"/>
        </w:rPr>
        <w:t>设备供货及施工：本项目包括（但不限于）所有变频装置、预制舱、电缆、桥架及附件、接地、照明及辅助设施的设计、供货</w:t>
      </w:r>
      <w:r>
        <w:rPr>
          <w:rFonts w:hint="eastAsia" w:hAnsi="宋体"/>
          <w:color w:val="auto"/>
          <w:szCs w:val="21"/>
          <w:highlight w:val="none"/>
          <w:lang w:eastAsia="zh-CN"/>
        </w:rPr>
        <w:t>、</w:t>
      </w:r>
      <w:r>
        <w:rPr>
          <w:rFonts w:hint="eastAsia" w:hAnsi="宋体"/>
          <w:color w:val="auto"/>
          <w:szCs w:val="21"/>
          <w:highlight w:val="none"/>
          <w:lang w:val="en-US" w:eastAsia="zh-CN"/>
        </w:rPr>
        <w:t>安装、调试</w:t>
      </w:r>
      <w:r>
        <w:rPr>
          <w:rFonts w:hint="eastAsia" w:hAnsi="宋体"/>
          <w:color w:val="auto"/>
          <w:szCs w:val="21"/>
          <w:highlight w:val="none"/>
        </w:rPr>
        <w:t>全部由投标方负责。</w:t>
      </w:r>
    </w:p>
    <w:p w14:paraId="6A48DC45">
      <w:pPr>
        <w:spacing w:line="360" w:lineRule="auto"/>
        <w:rPr>
          <w:rFonts w:hint="eastAsia" w:ascii="宋体" w:hAnsi="宋体"/>
          <w:color w:val="000000"/>
          <w:szCs w:val="21"/>
        </w:rPr>
      </w:pPr>
      <w:r>
        <w:rPr>
          <w:rFonts w:hint="eastAsia" w:ascii="宋体" w:hAnsi="宋体"/>
          <w:bCs/>
          <w:color w:val="000000"/>
          <w:szCs w:val="21"/>
        </w:rPr>
        <w:t xml:space="preserve"> </w:t>
      </w:r>
      <w:r>
        <w:rPr>
          <w:rFonts w:hint="eastAsia" w:ascii="宋体" w:hAnsi="宋体"/>
          <w:color w:val="000000"/>
          <w:szCs w:val="21"/>
        </w:rPr>
        <w:t>2.1  高压变频调速系统及其附件包括:</w:t>
      </w:r>
    </w:p>
    <w:p w14:paraId="3DA13136">
      <w:pPr>
        <w:ind w:left="570"/>
        <w:rPr>
          <w:rFonts w:hint="eastAsia" w:ascii="宋体" w:hAnsi="宋体"/>
          <w:color w:val="000000"/>
          <w:szCs w:val="21"/>
        </w:rPr>
      </w:pPr>
      <w:r>
        <w:rPr>
          <w:rFonts w:ascii="宋体" w:hAnsi="宋体"/>
          <w:color w:val="000000"/>
          <w:szCs w:val="21"/>
        </w:rPr>
        <w:t>a.</w:t>
      </w:r>
      <w:r>
        <w:rPr>
          <w:rFonts w:hint="eastAsia" w:ascii="宋体" w:hAnsi="宋体"/>
          <w:color w:val="000000"/>
          <w:szCs w:val="21"/>
        </w:rPr>
        <w:t xml:space="preserve"> 干式隔离变压器 </w:t>
      </w:r>
    </w:p>
    <w:p w14:paraId="322AF38E">
      <w:pPr>
        <w:ind w:left="570"/>
        <w:rPr>
          <w:rFonts w:hint="eastAsia" w:ascii="宋体" w:hAnsi="宋体"/>
          <w:color w:val="000000"/>
          <w:szCs w:val="21"/>
        </w:rPr>
      </w:pPr>
      <w:r>
        <w:rPr>
          <w:rFonts w:ascii="宋体" w:hAnsi="宋体"/>
          <w:color w:val="000000"/>
          <w:szCs w:val="21"/>
        </w:rPr>
        <w:t>b.</w:t>
      </w:r>
      <w:r>
        <w:rPr>
          <w:rFonts w:hint="eastAsia" w:ascii="宋体" w:hAnsi="宋体"/>
          <w:color w:val="000000"/>
          <w:szCs w:val="21"/>
        </w:rPr>
        <w:t xml:space="preserve"> 高压变频装置及控制系统</w:t>
      </w:r>
    </w:p>
    <w:p w14:paraId="1A4350D7">
      <w:pPr>
        <w:ind w:left="570"/>
        <w:rPr>
          <w:rFonts w:hint="eastAsia" w:ascii="宋体" w:hAnsi="宋体"/>
          <w:color w:val="000000"/>
          <w:szCs w:val="21"/>
        </w:rPr>
      </w:pPr>
      <w:r>
        <w:rPr>
          <w:rFonts w:hint="eastAsia" w:ascii="宋体" w:hAnsi="宋体"/>
          <w:color w:val="000000"/>
          <w:szCs w:val="21"/>
        </w:rPr>
        <w:t>c</w:t>
      </w:r>
      <w:r>
        <w:rPr>
          <w:rFonts w:ascii="宋体" w:hAnsi="宋体"/>
          <w:color w:val="000000"/>
          <w:szCs w:val="21"/>
        </w:rPr>
        <w:t>.</w:t>
      </w:r>
      <w:r>
        <w:rPr>
          <w:rFonts w:hint="eastAsia" w:ascii="宋体" w:hAnsi="宋体"/>
          <w:color w:val="000000"/>
          <w:szCs w:val="21"/>
        </w:rPr>
        <w:t xml:space="preserve"> 旁路辅助系统</w:t>
      </w:r>
    </w:p>
    <w:p w14:paraId="2A8848A6">
      <w:pPr>
        <w:ind w:firstLine="570"/>
        <w:rPr>
          <w:rFonts w:hint="eastAsia" w:ascii="宋体" w:hAnsi="宋体"/>
          <w:color w:val="000000"/>
          <w:szCs w:val="21"/>
        </w:rPr>
      </w:pPr>
      <w:r>
        <w:rPr>
          <w:rFonts w:hint="eastAsia" w:ascii="宋体" w:hAnsi="宋体"/>
          <w:color w:val="000000"/>
          <w:szCs w:val="21"/>
        </w:rPr>
        <w:t>d</w:t>
      </w:r>
      <w:r>
        <w:rPr>
          <w:rFonts w:ascii="宋体" w:hAnsi="宋体"/>
          <w:color w:val="000000"/>
          <w:szCs w:val="21"/>
        </w:rPr>
        <w:t>.</w:t>
      </w:r>
      <w:r>
        <w:rPr>
          <w:rFonts w:hint="eastAsia" w:ascii="宋体" w:hAnsi="宋体"/>
          <w:color w:val="000000"/>
          <w:szCs w:val="21"/>
        </w:rPr>
        <w:t xml:space="preserve"> 其他必须的设备</w:t>
      </w:r>
    </w:p>
    <w:p w14:paraId="69030250">
      <w:pPr>
        <w:ind w:firstLine="560"/>
        <w:rPr>
          <w:rFonts w:hint="eastAsia" w:ascii="宋体" w:hAnsi="宋体"/>
          <w:color w:val="000000"/>
          <w:szCs w:val="21"/>
        </w:rPr>
      </w:pPr>
      <w:r>
        <w:rPr>
          <w:rFonts w:hint="eastAsia" w:ascii="宋体" w:hAnsi="宋体"/>
          <w:color w:val="000000"/>
          <w:szCs w:val="21"/>
        </w:rPr>
        <w:t>e</w:t>
      </w:r>
      <w:r>
        <w:rPr>
          <w:rFonts w:ascii="宋体" w:hAnsi="宋体"/>
          <w:color w:val="000000"/>
          <w:szCs w:val="21"/>
        </w:rPr>
        <w:t>.</w:t>
      </w:r>
      <w:r>
        <w:rPr>
          <w:rFonts w:hint="eastAsia" w:ascii="宋体" w:hAnsi="宋体"/>
          <w:color w:val="000000"/>
          <w:szCs w:val="21"/>
        </w:rPr>
        <w:t xml:space="preserve"> 变频装置内部所有的柜间联系电缆</w:t>
      </w:r>
    </w:p>
    <w:p w14:paraId="7EE78F0B">
      <w:pPr>
        <w:ind w:firstLine="560"/>
        <w:rPr>
          <w:rFonts w:hint="eastAsia" w:ascii="宋体" w:hAnsi="宋体"/>
          <w:color w:val="000000"/>
          <w:szCs w:val="21"/>
        </w:rPr>
      </w:pPr>
      <w:r>
        <w:rPr>
          <w:rFonts w:hint="eastAsia" w:ascii="宋体" w:hAnsi="宋体"/>
          <w:color w:val="000000"/>
          <w:szCs w:val="21"/>
        </w:rPr>
        <w:t>f. 附件及随机备品备件</w:t>
      </w:r>
    </w:p>
    <w:p w14:paraId="0EBA77B0">
      <w:pPr>
        <w:ind w:firstLine="560"/>
        <w:rPr>
          <w:rFonts w:hint="default" w:ascii="宋体" w:hAnsi="宋体" w:eastAsia="宋体"/>
          <w:color w:val="auto"/>
          <w:szCs w:val="21"/>
          <w:lang w:val="en-US" w:eastAsia="zh-CN"/>
        </w:rPr>
      </w:pPr>
      <w:r>
        <w:rPr>
          <w:rFonts w:hint="eastAsia" w:ascii="宋体" w:hAnsi="宋体"/>
          <w:color w:val="auto"/>
          <w:szCs w:val="21"/>
          <w:lang w:val="en-US" w:eastAsia="zh-CN"/>
        </w:rPr>
        <w:t>g. 预制舱及空水冷装置等其他配套设施</w:t>
      </w:r>
    </w:p>
    <w:p w14:paraId="3448D900">
      <w:pPr>
        <w:rPr>
          <w:rFonts w:hint="eastAsia" w:ascii="宋体" w:hAnsi="宋体"/>
          <w:color w:val="000000"/>
          <w:szCs w:val="21"/>
        </w:rPr>
      </w:pPr>
      <w:r>
        <w:rPr>
          <w:rFonts w:hint="eastAsia" w:ascii="宋体" w:hAnsi="宋体"/>
          <w:color w:val="000000"/>
          <w:szCs w:val="21"/>
        </w:rPr>
        <w:t>2.2  投标方应确保供货范围完整，以能满足招标人安装、运行要求为原则。在技术规范中涉及的供货要求也作为本供货范围的补充，若在原设备的拆除、设备安装、调试、运行中发现缺项（属投标方供货范围）由投标方补充。以下表格</w:t>
      </w:r>
      <w:r>
        <w:rPr>
          <w:rFonts w:hint="eastAsia" w:ascii="宋体" w:hAnsi="宋体"/>
          <w:color w:val="000000"/>
          <w:spacing w:val="5"/>
          <w:szCs w:val="21"/>
        </w:rPr>
        <w:t>供货商需详细填写，作为报价比较依据以及今后交货验收依据</w:t>
      </w:r>
      <w:r>
        <w:rPr>
          <w:rFonts w:hint="eastAsia" w:ascii="宋体" w:hAnsi="宋体"/>
          <w:color w:val="000000"/>
          <w:szCs w:val="21"/>
        </w:rPr>
        <w:t>:</w:t>
      </w:r>
    </w:p>
    <w:p w14:paraId="5BE4407F">
      <w:pPr>
        <w:spacing w:line="340" w:lineRule="exact"/>
        <w:ind w:firstLine="560"/>
        <w:rPr>
          <w:rFonts w:hint="eastAsia" w:ascii="宋体" w:hAnsi="宋体"/>
          <w:color w:val="FF0000"/>
          <w:spacing w:val="5"/>
          <w:szCs w:val="21"/>
        </w:rPr>
      </w:pPr>
      <w:r>
        <w:rPr>
          <w:rFonts w:hint="eastAsia" w:ascii="宋体" w:hAnsi="宋体"/>
          <w:color w:val="000000"/>
          <w:spacing w:val="5"/>
          <w:szCs w:val="21"/>
        </w:rPr>
        <w:t>设备供货清单</w:t>
      </w:r>
      <w:r>
        <w:rPr>
          <w:rFonts w:ascii="宋体" w:hAnsi="宋体"/>
          <w:color w:val="000000"/>
          <w:spacing w:val="5"/>
          <w:szCs w:val="21"/>
        </w:rPr>
        <w:t xml:space="preserve"> (</w:t>
      </w:r>
      <w:r>
        <w:rPr>
          <w:rFonts w:hint="eastAsia" w:ascii="宋体" w:hAnsi="宋体"/>
          <w:color w:val="000000"/>
          <w:spacing w:val="5"/>
          <w:szCs w:val="21"/>
        </w:rPr>
        <w:t>表一</w:t>
      </w:r>
      <w:r>
        <w:rPr>
          <w:rFonts w:ascii="宋体" w:hAnsi="宋体"/>
          <w:color w:val="000000"/>
          <w:spacing w:val="5"/>
          <w:szCs w:val="21"/>
        </w:rPr>
        <w:t>)</w:t>
      </w:r>
      <w:r>
        <w:rPr>
          <w:rFonts w:hint="eastAsia" w:ascii="宋体" w:hAnsi="宋体"/>
          <w:color w:val="000000"/>
          <w:spacing w:val="5"/>
          <w:szCs w:val="21"/>
        </w:rPr>
        <w:t xml:space="preserve">     </w:t>
      </w:r>
      <w:r>
        <w:rPr>
          <w:rFonts w:hint="eastAsia" w:ascii="宋体" w:hAnsi="宋体"/>
          <w:color w:val="FF0000"/>
          <w:spacing w:val="5"/>
          <w:szCs w:val="21"/>
        </w:rPr>
        <w:t xml:space="preserve">     </w:t>
      </w:r>
    </w:p>
    <w:tbl>
      <w:tblPr>
        <w:tblStyle w:val="5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1620"/>
        <w:gridCol w:w="1980"/>
        <w:gridCol w:w="720"/>
        <w:gridCol w:w="3240"/>
        <w:gridCol w:w="720"/>
      </w:tblGrid>
      <w:tr w14:paraId="4B570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1F63223">
            <w:pPr>
              <w:spacing w:line="340" w:lineRule="exact"/>
              <w:ind w:firstLine="560"/>
              <w:rPr>
                <w:rFonts w:hint="eastAsia" w:ascii="宋体" w:hAnsi="宋体"/>
                <w:color w:val="000000"/>
                <w:spacing w:val="5"/>
                <w:szCs w:val="21"/>
              </w:rPr>
            </w:pPr>
            <w:r>
              <w:rPr>
                <w:rFonts w:hint="eastAsia" w:ascii="宋体" w:hAnsi="宋体"/>
                <w:color w:val="000000"/>
                <w:spacing w:val="5"/>
                <w:szCs w:val="21"/>
              </w:rPr>
              <w:t>序序号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00BEF56">
            <w:pPr>
              <w:spacing w:line="340" w:lineRule="exact"/>
              <w:ind w:firstLine="560"/>
              <w:rPr>
                <w:rFonts w:ascii="宋体" w:hAnsi="宋体"/>
                <w:color w:val="000000"/>
                <w:spacing w:val="5"/>
                <w:szCs w:val="21"/>
              </w:rPr>
            </w:pPr>
            <w:r>
              <w:rPr>
                <w:rFonts w:hint="eastAsia" w:ascii="宋体" w:hAnsi="宋体"/>
                <w:color w:val="000000"/>
                <w:spacing w:val="5"/>
                <w:szCs w:val="21"/>
              </w:rPr>
              <w:t>名</w:t>
            </w:r>
            <w:r>
              <w:rPr>
                <w:rFonts w:ascii="宋体" w:hAnsi="宋体"/>
                <w:color w:val="000000"/>
                <w:spacing w:val="5"/>
                <w:szCs w:val="21"/>
              </w:rPr>
              <w:t xml:space="preserve"> </w:t>
            </w:r>
            <w:r>
              <w:rPr>
                <w:rFonts w:hint="eastAsia" w:ascii="宋体" w:hAnsi="宋体"/>
                <w:color w:val="000000"/>
                <w:spacing w:val="5"/>
                <w:szCs w:val="21"/>
              </w:rPr>
              <w:t>称</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1C461C7">
            <w:pPr>
              <w:spacing w:line="340" w:lineRule="exact"/>
              <w:ind w:firstLine="560"/>
              <w:rPr>
                <w:rFonts w:ascii="宋体" w:hAnsi="宋体"/>
                <w:color w:val="000000"/>
                <w:spacing w:val="5"/>
                <w:szCs w:val="21"/>
              </w:rPr>
            </w:pPr>
            <w:r>
              <w:rPr>
                <w:rFonts w:hint="eastAsia" w:ascii="宋体" w:hAnsi="宋体"/>
                <w:color w:val="000000"/>
                <w:spacing w:val="5"/>
                <w:szCs w:val="21"/>
              </w:rPr>
              <w:t>型号规格</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48C7176">
            <w:pPr>
              <w:spacing w:line="340" w:lineRule="exact"/>
              <w:rPr>
                <w:rFonts w:ascii="宋体" w:hAnsi="宋体"/>
                <w:color w:val="000000"/>
                <w:spacing w:val="5"/>
                <w:szCs w:val="21"/>
              </w:rPr>
            </w:pPr>
            <w:r>
              <w:rPr>
                <w:rFonts w:hint="eastAsia" w:ascii="宋体" w:hAnsi="宋体"/>
                <w:color w:val="000000"/>
                <w:spacing w:val="5"/>
                <w:szCs w:val="21"/>
              </w:rPr>
              <w:t>数量</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6A930058">
            <w:pPr>
              <w:spacing w:line="340" w:lineRule="exact"/>
              <w:jc w:val="center"/>
              <w:rPr>
                <w:rFonts w:ascii="宋体" w:hAnsi="宋体"/>
                <w:color w:val="000000"/>
                <w:spacing w:val="5"/>
                <w:szCs w:val="21"/>
              </w:rPr>
            </w:pPr>
            <w:r>
              <w:rPr>
                <w:rFonts w:hint="eastAsia" w:ascii="宋体" w:hAnsi="宋体"/>
                <w:color w:val="000000"/>
                <w:spacing w:val="5"/>
                <w:szCs w:val="21"/>
              </w:rPr>
              <w:t>制造厂</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0E3846C">
            <w:pPr>
              <w:spacing w:line="340" w:lineRule="exact"/>
              <w:rPr>
                <w:rFonts w:hint="eastAsia" w:ascii="宋体" w:hAnsi="宋体"/>
                <w:color w:val="000000"/>
                <w:spacing w:val="5"/>
                <w:szCs w:val="21"/>
              </w:rPr>
            </w:pPr>
            <w:r>
              <w:rPr>
                <w:rFonts w:hint="eastAsia" w:ascii="宋体" w:hAnsi="宋体"/>
                <w:color w:val="000000"/>
                <w:spacing w:val="5"/>
                <w:szCs w:val="21"/>
              </w:rPr>
              <w:t>产地</w:t>
            </w:r>
          </w:p>
        </w:tc>
      </w:tr>
      <w:tr w14:paraId="566C5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64C0A93">
            <w:pPr>
              <w:spacing w:line="340" w:lineRule="exact"/>
              <w:ind w:firstLine="560"/>
              <w:rPr>
                <w:rFonts w:hint="eastAsia" w:ascii="宋体" w:hAnsi="宋体"/>
                <w:color w:val="000000"/>
                <w:spacing w:val="5"/>
                <w:szCs w:val="21"/>
              </w:rPr>
            </w:pPr>
            <w:r>
              <w:rPr>
                <w:rFonts w:hint="eastAsia" w:ascii="宋体" w:hAnsi="宋体"/>
                <w:color w:val="000000"/>
                <w:spacing w:val="5"/>
                <w:szCs w:val="21"/>
              </w:rPr>
              <w:t>1</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61F3DE9">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491089E">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66B2EA65">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76295E66">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3C29C524">
            <w:pPr>
              <w:spacing w:line="340" w:lineRule="exact"/>
              <w:ind w:firstLine="560"/>
              <w:rPr>
                <w:rFonts w:hint="eastAsia" w:ascii="宋体" w:hAnsi="宋体"/>
                <w:color w:val="000000"/>
                <w:spacing w:val="5"/>
                <w:szCs w:val="21"/>
              </w:rPr>
            </w:pPr>
          </w:p>
        </w:tc>
      </w:tr>
      <w:tr w14:paraId="53DD8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3D18C8E">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B374EEE">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51C9CD0">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01D54BDE">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02A95B9D">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678832B0">
            <w:pPr>
              <w:spacing w:line="340" w:lineRule="exact"/>
              <w:ind w:firstLine="560"/>
              <w:rPr>
                <w:rFonts w:hint="eastAsia" w:ascii="宋体" w:hAnsi="宋体"/>
                <w:color w:val="000000"/>
                <w:spacing w:val="5"/>
                <w:szCs w:val="21"/>
              </w:rPr>
            </w:pPr>
          </w:p>
        </w:tc>
      </w:tr>
      <w:tr w14:paraId="65A9A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5EFA284">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61FE6D3">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0D2C537">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171F291A">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5AAD7CBF">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0DA43C5">
            <w:pPr>
              <w:spacing w:line="340" w:lineRule="exact"/>
              <w:ind w:firstLine="560"/>
              <w:rPr>
                <w:rFonts w:hint="eastAsia" w:ascii="宋体" w:hAnsi="宋体"/>
                <w:color w:val="000000"/>
                <w:spacing w:val="5"/>
                <w:szCs w:val="21"/>
              </w:rPr>
            </w:pPr>
          </w:p>
        </w:tc>
      </w:tr>
      <w:tr w14:paraId="44BC6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20C146A">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2AD8B81">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EBB3898">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AE4B2DA">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F6C6F09">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11CCD28">
            <w:pPr>
              <w:spacing w:line="340" w:lineRule="exact"/>
              <w:ind w:firstLine="560"/>
              <w:rPr>
                <w:rFonts w:hint="eastAsia" w:ascii="宋体" w:hAnsi="宋体"/>
                <w:color w:val="000000"/>
                <w:spacing w:val="5"/>
                <w:szCs w:val="21"/>
              </w:rPr>
            </w:pPr>
          </w:p>
        </w:tc>
      </w:tr>
      <w:tr w14:paraId="78FC8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C8B53B6">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41EB838">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05DD49A">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89C3661">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6E66614C">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AA2FE81">
            <w:pPr>
              <w:spacing w:line="340" w:lineRule="exact"/>
              <w:ind w:firstLine="560"/>
              <w:rPr>
                <w:rFonts w:hint="eastAsia" w:ascii="宋体" w:hAnsi="宋体"/>
                <w:color w:val="000000"/>
                <w:spacing w:val="5"/>
                <w:szCs w:val="21"/>
              </w:rPr>
            </w:pPr>
          </w:p>
        </w:tc>
      </w:tr>
      <w:tr w14:paraId="4D5F7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5254B97">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42DBF3B">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1374A5D">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13B85C4C">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0DD88E5A">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A2F5D9E">
            <w:pPr>
              <w:spacing w:line="340" w:lineRule="exact"/>
              <w:ind w:firstLine="560"/>
              <w:rPr>
                <w:rFonts w:hint="eastAsia" w:ascii="宋体" w:hAnsi="宋体"/>
                <w:color w:val="000000"/>
                <w:spacing w:val="5"/>
                <w:szCs w:val="21"/>
              </w:rPr>
            </w:pPr>
          </w:p>
        </w:tc>
      </w:tr>
      <w:tr w14:paraId="37147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89F6926">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1FEF65A">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1F95C70">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EE26F59">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B48C7BF">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C8DA058">
            <w:pPr>
              <w:spacing w:line="340" w:lineRule="exact"/>
              <w:ind w:firstLine="560"/>
              <w:rPr>
                <w:rFonts w:hint="eastAsia" w:ascii="宋体" w:hAnsi="宋体"/>
                <w:color w:val="000000"/>
                <w:spacing w:val="5"/>
                <w:szCs w:val="21"/>
              </w:rPr>
            </w:pPr>
          </w:p>
        </w:tc>
      </w:tr>
      <w:tr w14:paraId="63D25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88CB06C">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5ACC4FD">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830E9A1">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3B6625CD">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594BF9A0">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8ADCAF7">
            <w:pPr>
              <w:spacing w:line="340" w:lineRule="exact"/>
              <w:ind w:firstLine="560"/>
              <w:rPr>
                <w:rFonts w:hint="eastAsia" w:ascii="宋体" w:hAnsi="宋体"/>
                <w:color w:val="000000"/>
                <w:spacing w:val="5"/>
                <w:szCs w:val="21"/>
              </w:rPr>
            </w:pPr>
          </w:p>
        </w:tc>
      </w:tr>
      <w:tr w14:paraId="7DD33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D912F05">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9756E43">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18EE83F">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06805C66">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10740326">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68E50DF6">
            <w:pPr>
              <w:spacing w:line="340" w:lineRule="exact"/>
              <w:ind w:firstLine="560"/>
              <w:rPr>
                <w:rFonts w:hint="eastAsia" w:ascii="宋体" w:hAnsi="宋体"/>
                <w:color w:val="000000"/>
                <w:spacing w:val="5"/>
                <w:szCs w:val="21"/>
              </w:rPr>
            </w:pPr>
          </w:p>
        </w:tc>
      </w:tr>
      <w:tr w14:paraId="3EABF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19161A4">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826827A">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F940464">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18EE75B9">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401BF39">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EF8B0AA">
            <w:pPr>
              <w:spacing w:line="340" w:lineRule="exact"/>
              <w:ind w:firstLine="560"/>
              <w:rPr>
                <w:rFonts w:hint="eastAsia" w:ascii="宋体" w:hAnsi="宋体"/>
                <w:color w:val="000000"/>
                <w:spacing w:val="5"/>
                <w:szCs w:val="21"/>
              </w:rPr>
            </w:pPr>
          </w:p>
        </w:tc>
      </w:tr>
      <w:tr w14:paraId="5362C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CBE6227">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DE85162">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7A0E872">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372EED1">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672CC91E">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901A587">
            <w:pPr>
              <w:spacing w:line="340" w:lineRule="exact"/>
              <w:ind w:firstLine="560"/>
              <w:rPr>
                <w:rFonts w:hint="eastAsia" w:ascii="宋体" w:hAnsi="宋体"/>
                <w:color w:val="000000"/>
                <w:spacing w:val="5"/>
                <w:szCs w:val="21"/>
              </w:rPr>
            </w:pPr>
          </w:p>
        </w:tc>
      </w:tr>
      <w:tr w14:paraId="22242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EE09B26">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805F761">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E42F0D9">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681555FE">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1A205E12">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0C4996DC">
            <w:pPr>
              <w:spacing w:line="340" w:lineRule="exact"/>
              <w:ind w:firstLine="560"/>
              <w:rPr>
                <w:rFonts w:hint="eastAsia" w:ascii="宋体" w:hAnsi="宋体"/>
                <w:color w:val="000000"/>
                <w:spacing w:val="5"/>
                <w:szCs w:val="21"/>
              </w:rPr>
            </w:pPr>
          </w:p>
        </w:tc>
      </w:tr>
      <w:tr w14:paraId="33564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6E5398F">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96D48F8">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5E30C5E">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0046693D">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09AAEC24">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ECE3096">
            <w:pPr>
              <w:spacing w:line="340" w:lineRule="exact"/>
              <w:ind w:firstLine="560"/>
              <w:rPr>
                <w:rFonts w:hint="eastAsia" w:ascii="宋体" w:hAnsi="宋体"/>
                <w:color w:val="000000"/>
                <w:spacing w:val="5"/>
                <w:szCs w:val="21"/>
              </w:rPr>
            </w:pPr>
          </w:p>
        </w:tc>
      </w:tr>
      <w:tr w14:paraId="3DFE50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50CE43C">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C7FA00D">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C629A08">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2FFACA5">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75FDDD39">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028A158E">
            <w:pPr>
              <w:spacing w:line="340" w:lineRule="exact"/>
              <w:ind w:firstLine="560"/>
              <w:rPr>
                <w:rFonts w:hint="eastAsia" w:ascii="宋体" w:hAnsi="宋体"/>
                <w:color w:val="000000"/>
                <w:spacing w:val="5"/>
                <w:szCs w:val="21"/>
              </w:rPr>
            </w:pPr>
          </w:p>
        </w:tc>
      </w:tr>
      <w:tr w14:paraId="000BFC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DAD1D40">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51655F4">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EA5D4AC">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FD6B642">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217177F3">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5866DDFB">
            <w:pPr>
              <w:spacing w:line="340" w:lineRule="exact"/>
              <w:ind w:firstLine="560"/>
              <w:rPr>
                <w:rFonts w:hint="eastAsia" w:ascii="宋体" w:hAnsi="宋体"/>
                <w:color w:val="000000"/>
                <w:spacing w:val="5"/>
                <w:szCs w:val="21"/>
              </w:rPr>
            </w:pPr>
          </w:p>
        </w:tc>
      </w:tr>
      <w:tr w14:paraId="52D99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689F006">
            <w:pPr>
              <w:spacing w:line="340" w:lineRule="exact"/>
              <w:ind w:firstLine="560"/>
              <w:rPr>
                <w:rFonts w:hint="eastAsia" w:ascii="宋体" w:hAnsi="宋体"/>
                <w:color w:val="00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8E35779">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B352B3D">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5D7C603">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1591E1BC">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5E97BB5">
            <w:pPr>
              <w:spacing w:line="340" w:lineRule="exact"/>
              <w:ind w:firstLine="560"/>
              <w:rPr>
                <w:rFonts w:hint="eastAsia" w:ascii="宋体" w:hAnsi="宋体"/>
                <w:color w:val="000000"/>
                <w:spacing w:val="5"/>
                <w:szCs w:val="21"/>
              </w:rPr>
            </w:pPr>
          </w:p>
        </w:tc>
      </w:tr>
      <w:tr w14:paraId="25CA78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9F9A8AD">
            <w:pPr>
              <w:spacing w:line="340" w:lineRule="exact"/>
              <w:ind w:firstLine="560"/>
              <w:rPr>
                <w:rFonts w:hint="eastAsia" w:ascii="宋体" w:hAnsi="宋体"/>
                <w:color w:val="000000"/>
                <w:spacing w:val="5"/>
                <w:szCs w:val="21"/>
              </w:rPr>
            </w:pPr>
            <w:r>
              <w:rPr>
                <w:rFonts w:hint="eastAsia" w:ascii="宋体" w:hAnsi="宋体"/>
                <w:color w:val="000000"/>
                <w:spacing w:val="5"/>
                <w:szCs w:val="21"/>
              </w:rPr>
              <w:t>2</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75E5899">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E8647FC">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F3D3E7B">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214E73CA">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10FF29E">
            <w:pPr>
              <w:spacing w:line="340" w:lineRule="exact"/>
              <w:ind w:firstLine="560"/>
              <w:rPr>
                <w:rFonts w:hint="eastAsia" w:ascii="宋体" w:hAnsi="宋体"/>
                <w:color w:val="000000"/>
                <w:spacing w:val="5"/>
                <w:szCs w:val="21"/>
              </w:rPr>
            </w:pPr>
          </w:p>
        </w:tc>
      </w:tr>
      <w:tr w14:paraId="162915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C63194C">
            <w:pPr>
              <w:spacing w:line="340" w:lineRule="exact"/>
              <w:ind w:firstLine="560"/>
              <w:rPr>
                <w:rFonts w:hint="eastAsia" w:ascii="宋体" w:hAnsi="宋体"/>
                <w:color w:val="000000"/>
                <w:spacing w:val="5"/>
                <w:szCs w:val="21"/>
              </w:rPr>
            </w:pPr>
            <w:r>
              <w:rPr>
                <w:rFonts w:hint="eastAsia" w:ascii="宋体" w:hAnsi="宋体"/>
                <w:color w:val="000000"/>
                <w:spacing w:val="5"/>
                <w:szCs w:val="21"/>
              </w:rPr>
              <w:t>3</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E578C2E">
            <w:pPr>
              <w:spacing w:line="340" w:lineRule="exact"/>
              <w:ind w:firstLine="560"/>
              <w:rPr>
                <w:rFonts w:hint="eastAsia" w:ascii="宋体" w:hAnsi="宋体"/>
                <w:color w:val="000000"/>
                <w:spacing w:val="5"/>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B3CB3CB">
            <w:pPr>
              <w:spacing w:line="340" w:lineRule="exact"/>
              <w:ind w:firstLine="560"/>
              <w:rPr>
                <w:rFonts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7E2CF355">
            <w:pPr>
              <w:spacing w:line="340" w:lineRule="exact"/>
              <w:ind w:firstLine="560"/>
              <w:rPr>
                <w:rFonts w:hint="eastAsia" w:ascii="宋体" w:hAnsi="宋体"/>
                <w:color w:val="000000"/>
                <w:spacing w:val="5"/>
                <w:szCs w:val="21"/>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33D0DDD2">
            <w:pPr>
              <w:spacing w:line="340" w:lineRule="exact"/>
              <w:ind w:firstLine="560"/>
              <w:rPr>
                <w:rFonts w:hint="eastAsia" w:ascii="宋体" w:hAnsi="宋体"/>
                <w:color w:val="000000"/>
                <w:spacing w:val="5"/>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36EAB13F">
            <w:pPr>
              <w:spacing w:line="340" w:lineRule="exact"/>
              <w:ind w:firstLine="560"/>
              <w:rPr>
                <w:rFonts w:hint="eastAsia" w:ascii="宋体" w:hAnsi="宋体"/>
                <w:color w:val="000000"/>
                <w:spacing w:val="5"/>
                <w:szCs w:val="21"/>
              </w:rPr>
            </w:pPr>
          </w:p>
        </w:tc>
      </w:tr>
    </w:tbl>
    <w:p w14:paraId="7B3BD456">
      <w:pPr>
        <w:spacing w:line="340" w:lineRule="exact"/>
        <w:rPr>
          <w:rFonts w:hint="eastAsia" w:ascii="宋体" w:hAnsi="宋体"/>
          <w:color w:val="000000"/>
          <w:spacing w:val="5"/>
          <w:szCs w:val="21"/>
        </w:rPr>
      </w:pPr>
    </w:p>
    <w:p w14:paraId="73594A22">
      <w:pPr>
        <w:spacing w:line="340" w:lineRule="exact"/>
        <w:ind w:firstLine="560"/>
        <w:rPr>
          <w:rFonts w:hint="eastAsia" w:ascii="宋体" w:hAnsi="宋体"/>
          <w:color w:val="000000"/>
          <w:spacing w:val="5"/>
          <w:szCs w:val="21"/>
        </w:rPr>
      </w:pPr>
      <w:r>
        <w:rPr>
          <w:rFonts w:hint="eastAsia" w:ascii="宋体" w:hAnsi="宋体"/>
          <w:color w:val="000000"/>
          <w:spacing w:val="5"/>
          <w:szCs w:val="21"/>
        </w:rPr>
        <w:t>高压变频器安装调试用备品备件，包括消耗性材料（不仅限于此，计入投标总价）</w:t>
      </w:r>
    </w:p>
    <w:p w14:paraId="5EA2AA61">
      <w:pPr>
        <w:spacing w:line="340" w:lineRule="exact"/>
        <w:ind w:firstLine="560"/>
        <w:rPr>
          <w:rFonts w:hint="eastAsia" w:ascii="宋体" w:hAnsi="宋体"/>
          <w:color w:val="000000"/>
          <w:spacing w:val="5"/>
          <w:szCs w:val="21"/>
          <w:highlight w:val="yellow"/>
        </w:rPr>
      </w:pPr>
    </w:p>
    <w:p w14:paraId="06C67E48">
      <w:pPr>
        <w:pStyle w:val="26"/>
        <w:ind w:firstLine="750" w:firstLineChars="300"/>
        <w:rPr>
          <w:rFonts w:hint="default" w:ascii="宋体" w:hAnsi="宋体" w:eastAsia="宋体"/>
          <w:color w:val="000000"/>
          <w:spacing w:val="5"/>
          <w:szCs w:val="21"/>
          <w:highlight w:val="none"/>
          <w:lang w:val="en-US" w:eastAsia="zh-CN"/>
        </w:rPr>
      </w:pPr>
      <w:r>
        <w:rPr>
          <w:rFonts w:hint="eastAsia" w:ascii="宋体" w:hAnsi="宋体"/>
          <w:color w:val="000000"/>
          <w:spacing w:val="5"/>
          <w:szCs w:val="21"/>
          <w:highlight w:val="none"/>
        </w:rPr>
        <w:t>随机备品配件清单</w:t>
      </w:r>
      <w:r>
        <w:rPr>
          <w:rFonts w:ascii="宋体" w:hAnsi="宋体"/>
          <w:color w:val="000000"/>
          <w:spacing w:val="5"/>
          <w:szCs w:val="21"/>
          <w:highlight w:val="none"/>
        </w:rPr>
        <w:t xml:space="preserve"> (</w:t>
      </w:r>
      <w:r>
        <w:rPr>
          <w:rFonts w:hint="eastAsia" w:ascii="宋体" w:hAnsi="宋体"/>
          <w:color w:val="000000"/>
          <w:spacing w:val="5"/>
          <w:szCs w:val="21"/>
          <w:highlight w:val="none"/>
        </w:rPr>
        <w:t>表二</w:t>
      </w:r>
      <w:r>
        <w:rPr>
          <w:rFonts w:ascii="宋体" w:hAnsi="宋体"/>
          <w:color w:val="000000"/>
          <w:spacing w:val="5"/>
          <w:szCs w:val="21"/>
          <w:highlight w:val="none"/>
        </w:rPr>
        <w:t>)</w:t>
      </w:r>
      <w:r>
        <w:rPr>
          <w:rFonts w:hint="eastAsia" w:ascii="宋体" w:hAnsi="宋体"/>
          <w:color w:val="000000"/>
          <w:spacing w:val="5"/>
          <w:szCs w:val="21"/>
          <w:highlight w:val="none"/>
          <w:lang w:val="en-US" w:eastAsia="zh-CN"/>
        </w:rPr>
        <w:t xml:space="preserve">     </w:t>
      </w:r>
      <w:r>
        <w:rPr>
          <w:rFonts w:hint="eastAsia" w:ascii="宋体" w:hAnsi="宋体"/>
          <w:color w:val="000000"/>
          <w:spacing w:val="5"/>
          <w:szCs w:val="21"/>
          <w:highlight w:val="none"/>
        </w:rPr>
        <w:t>随机备品备件不仅限于此，计入投标总价</w:t>
      </w:r>
    </w:p>
    <w:tbl>
      <w:tblPr>
        <w:tblStyle w:val="5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1620"/>
        <w:gridCol w:w="2160"/>
        <w:gridCol w:w="900"/>
        <w:gridCol w:w="2700"/>
        <w:gridCol w:w="900"/>
      </w:tblGrid>
      <w:tr w14:paraId="20BAF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2EDCE75">
            <w:pPr>
              <w:spacing w:line="340" w:lineRule="exact"/>
              <w:ind w:firstLine="560"/>
              <w:rPr>
                <w:rFonts w:ascii="宋体" w:hAnsi="宋体"/>
                <w:color w:val="000000"/>
                <w:spacing w:val="5"/>
                <w:szCs w:val="21"/>
              </w:rPr>
            </w:pPr>
            <w:r>
              <w:rPr>
                <w:rFonts w:hint="eastAsia" w:ascii="宋体" w:hAnsi="宋体"/>
                <w:color w:val="000000"/>
                <w:spacing w:val="5"/>
                <w:szCs w:val="21"/>
              </w:rPr>
              <w:t>序序号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3459276">
            <w:pPr>
              <w:spacing w:line="340" w:lineRule="exact"/>
              <w:ind w:firstLine="560"/>
              <w:rPr>
                <w:rFonts w:ascii="宋体" w:hAnsi="宋体"/>
                <w:color w:val="000000"/>
                <w:spacing w:val="5"/>
                <w:szCs w:val="21"/>
              </w:rPr>
            </w:pPr>
            <w:r>
              <w:rPr>
                <w:rFonts w:hint="eastAsia" w:ascii="宋体" w:hAnsi="宋体"/>
                <w:color w:val="000000"/>
                <w:spacing w:val="5"/>
                <w:szCs w:val="21"/>
              </w:rPr>
              <w:t>名</w:t>
            </w:r>
            <w:r>
              <w:rPr>
                <w:rFonts w:ascii="宋体" w:hAnsi="宋体"/>
                <w:color w:val="000000"/>
                <w:spacing w:val="5"/>
                <w:szCs w:val="21"/>
              </w:rPr>
              <w:t xml:space="preserve"> </w:t>
            </w:r>
            <w:r>
              <w:rPr>
                <w:rFonts w:hint="eastAsia" w:ascii="宋体" w:hAnsi="宋体"/>
                <w:color w:val="000000"/>
                <w:spacing w:val="5"/>
                <w:szCs w:val="21"/>
              </w:rPr>
              <w:t>称</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506D11C">
            <w:pPr>
              <w:spacing w:line="340" w:lineRule="exact"/>
              <w:ind w:firstLine="560"/>
              <w:rPr>
                <w:rFonts w:ascii="宋体" w:hAnsi="宋体"/>
                <w:color w:val="000000"/>
                <w:spacing w:val="5"/>
                <w:szCs w:val="21"/>
              </w:rPr>
            </w:pPr>
            <w:r>
              <w:rPr>
                <w:rFonts w:hint="eastAsia" w:ascii="宋体" w:hAnsi="宋体"/>
                <w:color w:val="000000"/>
                <w:spacing w:val="5"/>
                <w:szCs w:val="21"/>
              </w:rPr>
              <w:t>型号规格</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F235ABD">
            <w:pPr>
              <w:spacing w:line="340" w:lineRule="exact"/>
              <w:rPr>
                <w:rFonts w:ascii="宋体" w:hAnsi="宋体"/>
                <w:color w:val="000000"/>
                <w:spacing w:val="5"/>
                <w:szCs w:val="21"/>
              </w:rPr>
            </w:pPr>
            <w:r>
              <w:rPr>
                <w:rFonts w:hint="eastAsia" w:ascii="宋体" w:hAnsi="宋体"/>
                <w:color w:val="000000"/>
                <w:spacing w:val="5"/>
                <w:szCs w:val="21"/>
              </w:rPr>
              <w:t>数量</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4640412B">
            <w:pPr>
              <w:spacing w:line="340" w:lineRule="exact"/>
              <w:ind w:firstLine="560"/>
              <w:rPr>
                <w:rFonts w:ascii="宋体" w:hAnsi="宋体"/>
                <w:color w:val="000000"/>
                <w:spacing w:val="5"/>
                <w:szCs w:val="21"/>
              </w:rPr>
            </w:pPr>
            <w:r>
              <w:rPr>
                <w:rFonts w:hint="eastAsia" w:ascii="宋体" w:hAnsi="宋体"/>
                <w:color w:val="000000"/>
                <w:spacing w:val="5"/>
                <w:szCs w:val="21"/>
              </w:rPr>
              <w:t>制造厂</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2F13B14">
            <w:pPr>
              <w:spacing w:line="340" w:lineRule="exact"/>
              <w:rPr>
                <w:rFonts w:hint="eastAsia" w:ascii="宋体" w:hAnsi="宋体"/>
                <w:color w:val="000000"/>
                <w:spacing w:val="5"/>
                <w:szCs w:val="21"/>
              </w:rPr>
            </w:pPr>
            <w:r>
              <w:rPr>
                <w:rFonts w:hint="eastAsia" w:ascii="宋体" w:hAnsi="宋体"/>
                <w:color w:val="000000"/>
                <w:spacing w:val="5"/>
                <w:szCs w:val="21"/>
              </w:rPr>
              <w:t>产地</w:t>
            </w:r>
          </w:p>
        </w:tc>
      </w:tr>
      <w:tr w14:paraId="64AB05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936E650">
            <w:pPr>
              <w:spacing w:line="340" w:lineRule="exact"/>
              <w:ind w:firstLine="560"/>
              <w:rPr>
                <w:rFonts w:hint="eastAsia" w:ascii="宋体" w:hAnsi="宋体"/>
                <w:color w:val="FF0000"/>
                <w:spacing w:val="5"/>
                <w:szCs w:val="21"/>
              </w:rPr>
            </w:pPr>
            <w:r>
              <w:rPr>
                <w:rFonts w:hint="eastAsia" w:ascii="宋体" w:hAnsi="宋体"/>
                <w:color w:val="FF0000"/>
                <w:spacing w:val="5"/>
                <w:szCs w:val="21"/>
              </w:rPr>
              <w:t>2</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0FBEE73">
            <w:pPr>
              <w:spacing w:line="340" w:lineRule="exact"/>
              <w:rPr>
                <w:rFonts w:hint="default" w:ascii="宋体" w:hAnsi="宋体" w:eastAsia="宋体"/>
                <w:color w:val="auto"/>
                <w:spacing w:val="5"/>
                <w:szCs w:val="21"/>
                <w:highlight w:val="none"/>
                <w:lang w:val="en-US" w:eastAsia="zh-CN"/>
              </w:rPr>
            </w:pPr>
            <w:r>
              <w:rPr>
                <w:rFonts w:hint="eastAsia" w:ascii="宋体" w:hAnsi="宋体"/>
                <w:color w:val="auto"/>
                <w:spacing w:val="5"/>
                <w:szCs w:val="21"/>
                <w:highlight w:val="none"/>
                <w:lang w:val="en-US" w:eastAsia="zh-CN"/>
              </w:rPr>
              <w:t>功率模块</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AAA0634">
            <w:pPr>
              <w:spacing w:line="340" w:lineRule="exact"/>
              <w:ind w:firstLine="560"/>
              <w:rPr>
                <w:rFonts w:hint="eastAsia" w:ascii="宋体" w:hAnsi="宋体"/>
                <w:color w:val="auto"/>
                <w:spacing w:val="5"/>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696A751F">
            <w:pPr>
              <w:spacing w:line="340" w:lineRule="exact"/>
              <w:rPr>
                <w:rFonts w:hint="default" w:ascii="宋体" w:hAnsi="宋体" w:eastAsia="宋体"/>
                <w:color w:val="auto"/>
                <w:spacing w:val="5"/>
                <w:szCs w:val="21"/>
                <w:highlight w:val="none"/>
                <w:lang w:val="en-US" w:eastAsia="zh-CN"/>
              </w:rPr>
            </w:pPr>
            <w:r>
              <w:rPr>
                <w:rFonts w:hint="eastAsia" w:ascii="宋体" w:hAnsi="宋体"/>
                <w:color w:val="auto"/>
                <w:spacing w:val="5"/>
                <w:szCs w:val="21"/>
                <w:highlight w:val="none"/>
                <w:lang w:val="en-US" w:eastAsia="zh-CN"/>
              </w:rPr>
              <w:t>1块</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7486DCDE">
            <w:pPr>
              <w:spacing w:line="340" w:lineRule="exact"/>
              <w:ind w:firstLine="560"/>
              <w:rPr>
                <w:rFonts w:ascii="宋体" w:hAnsi="宋体"/>
                <w:color w:val="FF0000"/>
                <w:spacing w:val="5"/>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EA6B076">
            <w:pPr>
              <w:spacing w:line="340" w:lineRule="exact"/>
              <w:ind w:firstLine="560"/>
              <w:rPr>
                <w:rFonts w:hint="eastAsia" w:ascii="宋体" w:hAnsi="宋体"/>
                <w:color w:val="FF0000"/>
                <w:spacing w:val="5"/>
                <w:szCs w:val="21"/>
              </w:rPr>
            </w:pPr>
          </w:p>
        </w:tc>
      </w:tr>
      <w:tr w14:paraId="24A5B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D262C38">
            <w:pPr>
              <w:spacing w:line="340" w:lineRule="exact"/>
              <w:ind w:firstLine="560"/>
              <w:rPr>
                <w:rFonts w:hint="eastAsia" w:ascii="宋体" w:hAnsi="宋体"/>
                <w:color w:val="FF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5A34E3E">
            <w:pPr>
              <w:spacing w:line="340" w:lineRule="exact"/>
              <w:rPr>
                <w:rFonts w:hint="eastAsia" w:ascii="宋体" w:hAnsi="宋体" w:eastAsia="宋体"/>
                <w:color w:val="auto"/>
                <w:spacing w:val="5"/>
                <w:szCs w:val="21"/>
                <w:highlight w:val="none"/>
                <w:lang w:val="en-US" w:eastAsia="zh-CN"/>
              </w:rPr>
            </w:pPr>
            <w:r>
              <w:rPr>
                <w:rFonts w:hint="eastAsia" w:ascii="宋体" w:hAnsi="宋体"/>
                <w:color w:val="auto"/>
                <w:spacing w:val="5"/>
                <w:szCs w:val="21"/>
                <w:highlight w:val="none"/>
                <w:lang w:val="en-US" w:eastAsia="zh-CN"/>
              </w:rPr>
              <w:t>滤网</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8D7804F">
            <w:pPr>
              <w:spacing w:line="340" w:lineRule="exact"/>
              <w:ind w:firstLine="560"/>
              <w:rPr>
                <w:rFonts w:hint="eastAsia" w:ascii="宋体" w:hAnsi="宋体"/>
                <w:color w:val="auto"/>
                <w:spacing w:val="5"/>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ED8D98A">
            <w:pPr>
              <w:spacing w:line="340" w:lineRule="exact"/>
              <w:rPr>
                <w:rFonts w:hint="default" w:ascii="宋体" w:hAnsi="宋体" w:eastAsia="宋体"/>
                <w:color w:val="auto"/>
                <w:spacing w:val="5"/>
                <w:szCs w:val="21"/>
                <w:highlight w:val="none"/>
                <w:lang w:val="en-US" w:eastAsia="zh-CN"/>
              </w:rPr>
            </w:pPr>
            <w:r>
              <w:rPr>
                <w:rFonts w:hint="eastAsia" w:ascii="宋体" w:hAnsi="宋体"/>
                <w:color w:val="auto"/>
                <w:spacing w:val="5"/>
                <w:szCs w:val="21"/>
                <w:highlight w:val="none"/>
                <w:lang w:val="en-US" w:eastAsia="zh-CN"/>
              </w:rPr>
              <w:t>1套</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395ED34B">
            <w:pPr>
              <w:spacing w:line="340" w:lineRule="exact"/>
              <w:ind w:firstLine="560"/>
              <w:rPr>
                <w:rFonts w:ascii="宋体" w:hAnsi="宋体"/>
                <w:color w:val="FF0000"/>
                <w:spacing w:val="5"/>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2194C3DF">
            <w:pPr>
              <w:spacing w:line="340" w:lineRule="exact"/>
              <w:ind w:firstLine="560"/>
              <w:rPr>
                <w:rFonts w:hint="eastAsia" w:ascii="宋体" w:hAnsi="宋体"/>
                <w:color w:val="FF0000"/>
                <w:spacing w:val="5"/>
                <w:szCs w:val="21"/>
              </w:rPr>
            </w:pPr>
          </w:p>
        </w:tc>
      </w:tr>
      <w:tr w14:paraId="22AFB9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EE83D16">
            <w:pPr>
              <w:spacing w:line="340" w:lineRule="exact"/>
              <w:ind w:firstLine="560"/>
              <w:rPr>
                <w:rFonts w:hint="eastAsia" w:ascii="宋体" w:hAnsi="宋体"/>
                <w:color w:val="FF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6CADF09">
            <w:pPr>
              <w:spacing w:line="340" w:lineRule="exact"/>
              <w:rPr>
                <w:rFonts w:hint="default" w:ascii="宋体" w:hAnsi="宋体" w:eastAsia="宋体"/>
                <w:color w:val="auto"/>
                <w:spacing w:val="5"/>
                <w:szCs w:val="21"/>
                <w:highlight w:val="none"/>
                <w:lang w:val="en-US" w:eastAsia="zh-CN"/>
              </w:rPr>
            </w:pPr>
            <w:r>
              <w:rPr>
                <w:rFonts w:hint="eastAsia" w:ascii="宋体" w:hAnsi="宋体"/>
                <w:color w:val="auto"/>
                <w:spacing w:val="5"/>
                <w:szCs w:val="21"/>
                <w:highlight w:val="none"/>
                <w:lang w:val="en-US" w:eastAsia="zh-CN"/>
              </w:rPr>
              <w:t>控制光纤</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9B0EEFF">
            <w:pPr>
              <w:spacing w:line="340" w:lineRule="exact"/>
              <w:ind w:firstLine="560"/>
              <w:rPr>
                <w:rFonts w:hint="eastAsia" w:ascii="宋体" w:hAnsi="宋体"/>
                <w:color w:val="auto"/>
                <w:spacing w:val="5"/>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3E0AB278">
            <w:pPr>
              <w:spacing w:line="340" w:lineRule="exact"/>
              <w:rPr>
                <w:rFonts w:hint="default" w:ascii="宋体" w:hAnsi="宋体" w:eastAsia="宋体"/>
                <w:color w:val="auto"/>
                <w:spacing w:val="5"/>
                <w:szCs w:val="21"/>
                <w:highlight w:val="none"/>
                <w:lang w:val="en-US" w:eastAsia="zh-CN"/>
              </w:rPr>
            </w:pPr>
            <w:r>
              <w:rPr>
                <w:rFonts w:hint="eastAsia" w:ascii="宋体" w:hAnsi="宋体"/>
                <w:color w:val="auto"/>
                <w:spacing w:val="5"/>
                <w:szCs w:val="21"/>
                <w:highlight w:val="none"/>
                <w:lang w:val="en-US" w:eastAsia="zh-CN"/>
              </w:rPr>
              <w:t>1套</w:t>
            </w:r>
          </w:p>
        </w:tc>
        <w:tc>
          <w:tcPr>
            <w:tcW w:w="2700" w:type="dxa"/>
            <w:tcBorders>
              <w:top w:val="single" w:color="auto" w:sz="4" w:space="0"/>
              <w:left w:val="single" w:color="auto" w:sz="4" w:space="0"/>
              <w:right w:val="single" w:color="auto" w:sz="4" w:space="0"/>
            </w:tcBorders>
            <w:noWrap w:val="0"/>
            <w:vAlign w:val="center"/>
          </w:tcPr>
          <w:p w14:paraId="3EC7E647">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right w:val="single" w:color="auto" w:sz="4" w:space="0"/>
            </w:tcBorders>
            <w:noWrap w:val="0"/>
            <w:vAlign w:val="center"/>
          </w:tcPr>
          <w:p w14:paraId="3ECA163B">
            <w:pPr>
              <w:spacing w:line="340" w:lineRule="exact"/>
              <w:ind w:firstLine="560"/>
              <w:rPr>
                <w:rFonts w:hint="eastAsia" w:ascii="宋体" w:hAnsi="宋体"/>
                <w:color w:val="FF0000"/>
                <w:spacing w:val="5"/>
                <w:szCs w:val="21"/>
              </w:rPr>
            </w:pPr>
          </w:p>
        </w:tc>
      </w:tr>
      <w:tr w14:paraId="1D3598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6FBCA8D">
            <w:pPr>
              <w:spacing w:line="340" w:lineRule="exact"/>
              <w:ind w:firstLine="560"/>
              <w:rPr>
                <w:rFonts w:hint="eastAsia" w:ascii="宋体" w:hAnsi="宋体"/>
                <w:color w:val="FF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4A10EBE">
            <w:pPr>
              <w:spacing w:line="340" w:lineRule="exact"/>
              <w:ind w:firstLine="560"/>
              <w:rPr>
                <w:rFonts w:ascii="宋体" w:hAnsi="宋体"/>
                <w:color w:val="FF0000"/>
                <w:spacing w:val="5"/>
                <w:szCs w:val="21"/>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EAAD6E9">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3749E68">
            <w:pPr>
              <w:spacing w:line="340" w:lineRule="exact"/>
              <w:ind w:firstLine="560"/>
              <w:rPr>
                <w:rFonts w:hint="eastAsia" w:ascii="宋体" w:hAnsi="宋体"/>
                <w:color w:val="FF0000"/>
                <w:spacing w:val="5"/>
                <w:szCs w:val="21"/>
              </w:rPr>
            </w:pPr>
          </w:p>
        </w:tc>
        <w:tc>
          <w:tcPr>
            <w:tcW w:w="2700" w:type="dxa"/>
            <w:tcBorders>
              <w:top w:val="single" w:color="auto" w:sz="4" w:space="0"/>
              <w:left w:val="single" w:color="auto" w:sz="4" w:space="0"/>
              <w:right w:val="single" w:color="auto" w:sz="4" w:space="0"/>
            </w:tcBorders>
            <w:noWrap w:val="0"/>
            <w:vAlign w:val="center"/>
          </w:tcPr>
          <w:p w14:paraId="36759ADD">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right w:val="single" w:color="auto" w:sz="4" w:space="0"/>
            </w:tcBorders>
            <w:noWrap w:val="0"/>
            <w:vAlign w:val="center"/>
          </w:tcPr>
          <w:p w14:paraId="32DD6E84">
            <w:pPr>
              <w:spacing w:line="340" w:lineRule="exact"/>
              <w:ind w:firstLine="560"/>
              <w:rPr>
                <w:rFonts w:hint="eastAsia" w:ascii="宋体" w:hAnsi="宋体"/>
                <w:color w:val="FF0000"/>
                <w:spacing w:val="5"/>
                <w:szCs w:val="21"/>
              </w:rPr>
            </w:pPr>
          </w:p>
        </w:tc>
      </w:tr>
      <w:tr w14:paraId="49FC03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FE9DA55">
            <w:pPr>
              <w:spacing w:line="340" w:lineRule="exact"/>
              <w:ind w:firstLine="560"/>
              <w:rPr>
                <w:rFonts w:hint="eastAsia" w:ascii="宋体" w:hAnsi="宋体"/>
                <w:color w:val="FF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A3C6150">
            <w:pPr>
              <w:spacing w:line="340" w:lineRule="exact"/>
              <w:ind w:firstLine="560"/>
              <w:rPr>
                <w:rFonts w:ascii="宋体" w:hAnsi="宋体"/>
                <w:color w:val="FF0000"/>
                <w:spacing w:val="5"/>
                <w:szCs w:val="21"/>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A86F5FC">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B9CF99C">
            <w:pPr>
              <w:spacing w:line="340" w:lineRule="exact"/>
              <w:ind w:firstLine="560"/>
              <w:rPr>
                <w:rFonts w:hint="eastAsia" w:ascii="宋体" w:hAnsi="宋体"/>
                <w:color w:val="FF0000"/>
                <w:spacing w:val="5"/>
                <w:szCs w:val="21"/>
              </w:rPr>
            </w:pPr>
          </w:p>
        </w:tc>
        <w:tc>
          <w:tcPr>
            <w:tcW w:w="2700" w:type="dxa"/>
            <w:tcBorders>
              <w:top w:val="single" w:color="auto" w:sz="4" w:space="0"/>
              <w:left w:val="single" w:color="auto" w:sz="4" w:space="0"/>
              <w:right w:val="single" w:color="auto" w:sz="4" w:space="0"/>
            </w:tcBorders>
            <w:noWrap w:val="0"/>
            <w:vAlign w:val="center"/>
          </w:tcPr>
          <w:p w14:paraId="2C104C19">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right w:val="single" w:color="auto" w:sz="4" w:space="0"/>
            </w:tcBorders>
            <w:noWrap w:val="0"/>
            <w:vAlign w:val="center"/>
          </w:tcPr>
          <w:p w14:paraId="0513AF84">
            <w:pPr>
              <w:spacing w:line="340" w:lineRule="exact"/>
              <w:ind w:firstLine="560"/>
              <w:rPr>
                <w:rFonts w:hint="eastAsia" w:ascii="宋体" w:hAnsi="宋体"/>
                <w:color w:val="FF0000"/>
                <w:spacing w:val="5"/>
                <w:szCs w:val="21"/>
              </w:rPr>
            </w:pPr>
          </w:p>
        </w:tc>
      </w:tr>
      <w:tr w14:paraId="7A79C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78B9D59">
            <w:pPr>
              <w:spacing w:line="340" w:lineRule="exact"/>
              <w:ind w:firstLine="560"/>
              <w:rPr>
                <w:rFonts w:hint="eastAsia" w:ascii="宋体" w:hAnsi="宋体"/>
                <w:color w:val="FF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7F9171D">
            <w:pPr>
              <w:spacing w:line="340" w:lineRule="exact"/>
              <w:ind w:firstLine="560"/>
              <w:rPr>
                <w:rFonts w:ascii="宋体" w:hAnsi="宋体"/>
                <w:color w:val="FF0000"/>
                <w:spacing w:val="5"/>
                <w:szCs w:val="21"/>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02387EE4">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D589F9D">
            <w:pPr>
              <w:spacing w:line="340" w:lineRule="exact"/>
              <w:ind w:firstLine="560"/>
              <w:rPr>
                <w:rFonts w:hint="eastAsia" w:ascii="宋体" w:hAnsi="宋体"/>
                <w:color w:val="FF0000"/>
                <w:spacing w:val="5"/>
                <w:szCs w:val="21"/>
              </w:rPr>
            </w:pPr>
          </w:p>
        </w:tc>
        <w:tc>
          <w:tcPr>
            <w:tcW w:w="2700" w:type="dxa"/>
            <w:tcBorders>
              <w:top w:val="single" w:color="auto" w:sz="4" w:space="0"/>
              <w:left w:val="single" w:color="auto" w:sz="4" w:space="0"/>
              <w:right w:val="single" w:color="auto" w:sz="4" w:space="0"/>
            </w:tcBorders>
            <w:noWrap w:val="0"/>
            <w:vAlign w:val="center"/>
          </w:tcPr>
          <w:p w14:paraId="6B8F85DB">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right w:val="single" w:color="auto" w:sz="4" w:space="0"/>
            </w:tcBorders>
            <w:noWrap w:val="0"/>
            <w:vAlign w:val="center"/>
          </w:tcPr>
          <w:p w14:paraId="307052E9">
            <w:pPr>
              <w:spacing w:line="340" w:lineRule="exact"/>
              <w:ind w:firstLine="560"/>
              <w:rPr>
                <w:rFonts w:hint="eastAsia" w:ascii="宋体" w:hAnsi="宋体"/>
                <w:color w:val="FF0000"/>
                <w:spacing w:val="5"/>
                <w:szCs w:val="21"/>
              </w:rPr>
            </w:pPr>
          </w:p>
        </w:tc>
      </w:tr>
      <w:tr w14:paraId="56DC1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308FCAA">
            <w:pPr>
              <w:spacing w:line="340" w:lineRule="exact"/>
              <w:ind w:firstLine="560"/>
              <w:rPr>
                <w:rFonts w:hint="eastAsia" w:ascii="宋体" w:hAnsi="宋体"/>
                <w:color w:val="FF0000"/>
                <w:spacing w:val="5"/>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5433F78">
            <w:pPr>
              <w:spacing w:line="340" w:lineRule="exact"/>
              <w:ind w:firstLine="560"/>
              <w:rPr>
                <w:rFonts w:ascii="宋体" w:hAnsi="宋体"/>
                <w:color w:val="FF0000"/>
                <w:spacing w:val="5"/>
                <w:szCs w:val="21"/>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18EE2D7">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24CEBD3">
            <w:pPr>
              <w:spacing w:line="340" w:lineRule="exact"/>
              <w:ind w:firstLine="560"/>
              <w:rPr>
                <w:rFonts w:hint="eastAsia" w:ascii="宋体" w:hAnsi="宋体"/>
                <w:color w:val="FF0000"/>
                <w:spacing w:val="5"/>
                <w:szCs w:val="21"/>
              </w:rPr>
            </w:pPr>
          </w:p>
        </w:tc>
        <w:tc>
          <w:tcPr>
            <w:tcW w:w="2700" w:type="dxa"/>
            <w:tcBorders>
              <w:top w:val="single" w:color="auto" w:sz="4" w:space="0"/>
              <w:left w:val="single" w:color="auto" w:sz="4" w:space="0"/>
              <w:right w:val="single" w:color="auto" w:sz="4" w:space="0"/>
            </w:tcBorders>
            <w:noWrap w:val="0"/>
            <w:vAlign w:val="center"/>
          </w:tcPr>
          <w:p w14:paraId="14BBAE77">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right w:val="single" w:color="auto" w:sz="4" w:space="0"/>
            </w:tcBorders>
            <w:noWrap w:val="0"/>
            <w:vAlign w:val="center"/>
          </w:tcPr>
          <w:p w14:paraId="7D083FF7">
            <w:pPr>
              <w:spacing w:line="340" w:lineRule="exact"/>
              <w:ind w:firstLine="560"/>
              <w:rPr>
                <w:rFonts w:hint="eastAsia" w:ascii="宋体" w:hAnsi="宋体"/>
                <w:color w:val="FF0000"/>
                <w:spacing w:val="5"/>
                <w:szCs w:val="21"/>
              </w:rPr>
            </w:pPr>
          </w:p>
        </w:tc>
      </w:tr>
      <w:tr w14:paraId="32822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A55E7D4">
            <w:pPr>
              <w:spacing w:line="340" w:lineRule="exact"/>
              <w:ind w:firstLine="560"/>
              <w:rPr>
                <w:rFonts w:hint="eastAsia" w:ascii="宋体" w:hAnsi="宋体"/>
                <w:color w:val="FF0000"/>
                <w:spacing w:val="5"/>
                <w:szCs w:val="21"/>
              </w:rPr>
            </w:pPr>
            <w:r>
              <w:rPr>
                <w:rFonts w:hint="eastAsia" w:ascii="宋体" w:hAnsi="宋体"/>
                <w:color w:val="FF0000"/>
                <w:spacing w:val="5"/>
                <w:szCs w:val="21"/>
              </w:rPr>
              <w:t>3</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934F20F">
            <w:pPr>
              <w:spacing w:line="340" w:lineRule="exact"/>
              <w:ind w:firstLine="560"/>
              <w:rPr>
                <w:rFonts w:ascii="宋体" w:hAnsi="宋体"/>
                <w:color w:val="FF0000"/>
                <w:spacing w:val="5"/>
                <w:szCs w:val="21"/>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78DF071">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6609D14F">
            <w:pPr>
              <w:spacing w:line="340" w:lineRule="exact"/>
              <w:ind w:firstLine="560"/>
              <w:rPr>
                <w:rFonts w:hint="eastAsia" w:ascii="宋体" w:hAnsi="宋体"/>
                <w:color w:val="FF0000"/>
                <w:spacing w:val="5"/>
                <w:szCs w:val="21"/>
              </w:rPr>
            </w:pPr>
          </w:p>
        </w:tc>
        <w:tc>
          <w:tcPr>
            <w:tcW w:w="2700" w:type="dxa"/>
            <w:tcBorders>
              <w:top w:val="single" w:color="auto" w:sz="4" w:space="0"/>
              <w:left w:val="single" w:color="auto" w:sz="4" w:space="0"/>
              <w:right w:val="single" w:color="auto" w:sz="4" w:space="0"/>
            </w:tcBorders>
            <w:noWrap w:val="0"/>
            <w:vAlign w:val="center"/>
          </w:tcPr>
          <w:p w14:paraId="25EB51FD">
            <w:pPr>
              <w:spacing w:line="340" w:lineRule="exact"/>
              <w:ind w:firstLine="560"/>
              <w:rPr>
                <w:rFonts w:hint="eastAsia" w:ascii="宋体" w:hAnsi="宋体"/>
                <w:color w:val="FF0000"/>
                <w:spacing w:val="5"/>
                <w:szCs w:val="21"/>
              </w:rPr>
            </w:pPr>
          </w:p>
        </w:tc>
        <w:tc>
          <w:tcPr>
            <w:tcW w:w="900" w:type="dxa"/>
            <w:tcBorders>
              <w:top w:val="single" w:color="auto" w:sz="4" w:space="0"/>
              <w:left w:val="single" w:color="auto" w:sz="4" w:space="0"/>
              <w:right w:val="single" w:color="auto" w:sz="4" w:space="0"/>
            </w:tcBorders>
            <w:noWrap w:val="0"/>
            <w:vAlign w:val="center"/>
          </w:tcPr>
          <w:p w14:paraId="39148FC4">
            <w:pPr>
              <w:spacing w:line="340" w:lineRule="exact"/>
              <w:ind w:firstLine="560"/>
              <w:rPr>
                <w:rFonts w:hint="eastAsia" w:ascii="宋体" w:hAnsi="宋体"/>
                <w:color w:val="FF0000"/>
                <w:spacing w:val="5"/>
                <w:szCs w:val="21"/>
              </w:rPr>
            </w:pPr>
          </w:p>
        </w:tc>
        <w:bookmarkStart w:id="17" w:name="_Hlt4318812"/>
      </w:tr>
      <w:bookmarkEnd w:id="2"/>
      <w:bookmarkEnd w:id="11"/>
      <w:bookmarkEnd w:id="13"/>
      <w:bookmarkEnd w:id="17"/>
    </w:tbl>
    <w:p w14:paraId="15A6BF9B">
      <w:pPr>
        <w:pStyle w:val="2"/>
        <w:spacing w:line="240" w:lineRule="auto"/>
        <w:ind w:firstLine="420" w:firstLineChars="200"/>
        <w:rPr>
          <w:rFonts w:hint="eastAsia"/>
          <w:b w:val="0"/>
          <w:bCs/>
          <w:sz w:val="21"/>
          <w:szCs w:val="21"/>
        </w:rPr>
      </w:pPr>
      <w:bookmarkStart w:id="18" w:name="_Toc35655816"/>
      <w:bookmarkStart w:id="19" w:name="_Toc99419739"/>
      <w:bookmarkStart w:id="20" w:name="_Toc502370875"/>
      <w:bookmarkStart w:id="21" w:name="_Hlt99443152"/>
      <w:bookmarkStart w:id="22" w:name="_Hlt513224745"/>
      <w:r>
        <w:rPr>
          <w:rFonts w:hint="eastAsia"/>
          <w:b w:val="0"/>
          <w:bCs/>
          <w:sz w:val="21"/>
          <w:szCs w:val="21"/>
          <w:lang w:val="en-US" w:eastAsia="zh-CN"/>
        </w:rPr>
        <w:t>2.3</w:t>
      </w:r>
      <w:r>
        <w:rPr>
          <w:rFonts w:hint="eastAsia"/>
          <w:b w:val="0"/>
          <w:bCs/>
          <w:sz w:val="21"/>
          <w:szCs w:val="21"/>
        </w:rPr>
        <w:t>安装调试范围</w:t>
      </w:r>
    </w:p>
    <w:p w14:paraId="2E05EBA3">
      <w:pPr>
        <w:pStyle w:val="2"/>
        <w:ind w:firstLine="420" w:firstLineChars="200"/>
        <w:rPr>
          <w:rFonts w:hint="eastAsia" w:eastAsia="宋体"/>
          <w:b w:val="0"/>
          <w:bCs/>
          <w:color w:val="auto"/>
          <w:sz w:val="21"/>
          <w:szCs w:val="21"/>
          <w:highlight w:val="none"/>
          <w:lang w:eastAsia="zh-CN"/>
        </w:rPr>
      </w:pPr>
      <w:r>
        <w:rPr>
          <w:rFonts w:hint="eastAsia"/>
          <w:b w:val="0"/>
          <w:bCs/>
          <w:color w:val="auto"/>
          <w:sz w:val="21"/>
          <w:szCs w:val="21"/>
          <w:highlight w:val="none"/>
          <w:lang w:val="en-US" w:eastAsia="zh-CN"/>
        </w:rPr>
        <w:t>2.3</w:t>
      </w:r>
      <w:r>
        <w:rPr>
          <w:rFonts w:hint="eastAsia"/>
          <w:b w:val="0"/>
          <w:bCs/>
          <w:color w:val="auto"/>
          <w:sz w:val="21"/>
          <w:szCs w:val="21"/>
          <w:highlight w:val="none"/>
        </w:rPr>
        <w:t>.1电气范围包括（但不限于）所有变频装置、预制舱、</w:t>
      </w:r>
      <w:r>
        <w:rPr>
          <w:rFonts w:hint="eastAsia" w:ascii="Arial" w:cs="Arial"/>
          <w:b w:val="0"/>
          <w:bCs/>
          <w:color w:val="auto"/>
          <w:sz w:val="21"/>
          <w:szCs w:val="21"/>
          <w:highlight w:val="none"/>
          <w:lang w:val="en-US" w:eastAsia="zh-CN"/>
        </w:rPr>
        <w:t>高/低速切换刀闸柜（手动）、</w:t>
      </w:r>
      <w:r>
        <w:rPr>
          <w:rFonts w:hint="eastAsia"/>
          <w:b w:val="0"/>
          <w:bCs/>
          <w:color w:val="auto"/>
          <w:sz w:val="21"/>
          <w:szCs w:val="21"/>
          <w:highlight w:val="none"/>
        </w:rPr>
        <w:t>光缆、电缆、桥架及附件、接地、照明及辅助设施等所有设计、采购、施工、安装、调试由投标方负责配合</w:t>
      </w:r>
      <w:r>
        <w:rPr>
          <w:rFonts w:hint="eastAsia"/>
          <w:b w:val="0"/>
          <w:bCs/>
          <w:color w:val="auto"/>
          <w:sz w:val="21"/>
          <w:szCs w:val="21"/>
          <w:highlight w:val="none"/>
          <w:lang w:eastAsia="zh-CN"/>
        </w:rPr>
        <w:t>；</w:t>
      </w:r>
      <w:r>
        <w:rPr>
          <w:rFonts w:hint="eastAsia"/>
          <w:b w:val="0"/>
          <w:bCs/>
          <w:color w:val="auto"/>
          <w:sz w:val="21"/>
          <w:szCs w:val="21"/>
          <w:highlight w:val="none"/>
          <w:lang w:val="en-US" w:eastAsia="zh-CN"/>
        </w:rPr>
        <w:t>如果安装施工分包要求</w:t>
      </w:r>
      <w:r>
        <w:rPr>
          <w:rFonts w:hint="eastAsia" w:ascii="宋体" w:hAnsi="Times New Roman" w:eastAsia="宋体" w:cs="Times New Roman"/>
          <w:b w:val="0"/>
          <w:bCs/>
          <w:color w:val="auto"/>
          <w:sz w:val="21"/>
          <w:szCs w:val="21"/>
          <w:highlight w:val="none"/>
        </w:rPr>
        <w:t>资质</w:t>
      </w:r>
      <w:r>
        <w:rPr>
          <w:rFonts w:hint="eastAsia" w:ascii="宋体" w:hAnsi="Times New Roman" w:eastAsia="宋体" w:cs="Times New Roman"/>
          <w:b w:val="0"/>
          <w:bCs/>
          <w:color w:val="auto"/>
          <w:sz w:val="21"/>
          <w:szCs w:val="21"/>
          <w:highlight w:val="none"/>
          <w:lang w:eastAsia="zh-CN"/>
        </w:rPr>
        <w:t>：</w:t>
      </w:r>
      <w:r>
        <w:rPr>
          <w:rFonts w:hint="eastAsia" w:ascii="宋体" w:hAnsi="Times New Roman" w:eastAsia="宋体" w:cs="Times New Roman"/>
          <w:b w:val="0"/>
          <w:bCs/>
          <w:color w:val="auto"/>
          <w:sz w:val="21"/>
          <w:szCs w:val="21"/>
          <w:highlight w:val="none"/>
        </w:rPr>
        <w:t>电力施工总承包贰级</w:t>
      </w:r>
      <w:r>
        <w:rPr>
          <w:rFonts w:hint="eastAsia" w:ascii="宋体" w:hAnsi="Times New Roman" w:eastAsia="宋体" w:cs="Times New Roman"/>
          <w:b w:val="0"/>
          <w:bCs/>
          <w:color w:val="auto"/>
          <w:sz w:val="21"/>
          <w:szCs w:val="21"/>
          <w:highlight w:val="none"/>
          <w:lang w:val="en-US" w:eastAsia="zh-CN"/>
        </w:rPr>
        <w:t>或</w:t>
      </w:r>
      <w:r>
        <w:rPr>
          <w:rFonts w:hint="eastAsia" w:ascii="宋体" w:hAnsi="Times New Roman" w:eastAsia="宋体" w:cs="Times New Roman"/>
          <w:b w:val="0"/>
          <w:bCs/>
          <w:color w:val="auto"/>
          <w:sz w:val="21"/>
          <w:szCs w:val="21"/>
          <w:highlight w:val="none"/>
        </w:rPr>
        <w:t>机电工程施工总承包贰级</w:t>
      </w:r>
      <w:r>
        <w:rPr>
          <w:rFonts w:hint="eastAsia" w:ascii="宋体" w:hAnsi="Times New Roman" w:eastAsia="宋体" w:cs="Times New Roman"/>
          <w:b w:val="0"/>
          <w:bCs/>
          <w:color w:val="auto"/>
          <w:sz w:val="21"/>
          <w:szCs w:val="21"/>
          <w:highlight w:val="none"/>
          <w:lang w:eastAsia="zh-CN"/>
        </w:rPr>
        <w:t>，</w:t>
      </w:r>
      <w:r>
        <w:rPr>
          <w:rFonts w:hint="eastAsia" w:ascii="宋体" w:hAnsi="Times New Roman" w:eastAsia="宋体" w:cs="Times New Roman"/>
          <w:b w:val="0"/>
          <w:bCs/>
          <w:color w:val="auto"/>
          <w:sz w:val="21"/>
          <w:szCs w:val="21"/>
          <w:highlight w:val="none"/>
          <w:lang w:val="en-US" w:eastAsia="zh-CN"/>
        </w:rPr>
        <w:t>且有</w:t>
      </w:r>
      <w:r>
        <w:rPr>
          <w:rFonts w:hint="eastAsia" w:ascii="宋体" w:hAnsi="Times New Roman" w:eastAsia="宋体" w:cs="Times New Roman"/>
          <w:b w:val="0"/>
          <w:bCs/>
          <w:color w:val="auto"/>
          <w:sz w:val="21"/>
          <w:szCs w:val="21"/>
          <w:highlight w:val="none"/>
        </w:rPr>
        <w:t>承装（修、试）</w:t>
      </w:r>
      <w:r>
        <w:rPr>
          <w:rFonts w:hint="eastAsia" w:ascii="宋体" w:hAnsi="Times New Roman" w:eastAsia="宋体" w:cs="Times New Roman"/>
          <w:b w:val="0"/>
          <w:bCs/>
          <w:color w:val="auto"/>
          <w:sz w:val="21"/>
          <w:szCs w:val="21"/>
          <w:highlight w:val="none"/>
          <w:lang w:val="en-US" w:eastAsia="zh-CN"/>
        </w:rPr>
        <w:t>四</w:t>
      </w:r>
      <w:r>
        <w:rPr>
          <w:rFonts w:hint="eastAsia" w:ascii="宋体" w:hAnsi="Times New Roman" w:eastAsia="宋体" w:cs="Times New Roman"/>
          <w:b w:val="0"/>
          <w:bCs/>
          <w:color w:val="auto"/>
          <w:sz w:val="21"/>
          <w:szCs w:val="21"/>
          <w:highlight w:val="none"/>
        </w:rPr>
        <w:t>级</w:t>
      </w:r>
      <w:r>
        <w:rPr>
          <w:rFonts w:hint="eastAsia" w:ascii="宋体" w:hAnsi="Times New Roman" w:eastAsia="宋体" w:cs="Times New Roman"/>
          <w:b w:val="0"/>
          <w:bCs/>
          <w:color w:val="auto"/>
          <w:sz w:val="21"/>
          <w:szCs w:val="21"/>
          <w:highlight w:val="none"/>
          <w:lang w:val="en-US" w:eastAsia="zh-CN"/>
        </w:rPr>
        <w:t>及以上</w:t>
      </w:r>
      <w:r>
        <w:rPr>
          <w:rFonts w:hint="eastAsia" w:ascii="宋体" w:hAnsi="Times New Roman" w:eastAsia="宋体" w:cs="Times New Roman"/>
          <w:b w:val="0"/>
          <w:bCs/>
          <w:color w:val="auto"/>
          <w:sz w:val="21"/>
          <w:szCs w:val="21"/>
          <w:highlight w:val="none"/>
        </w:rPr>
        <w:t>资质</w:t>
      </w:r>
      <w:r>
        <w:rPr>
          <w:rFonts w:hint="eastAsia" w:ascii="宋体" w:hAnsi="Times New Roman" w:eastAsia="宋体" w:cs="Times New Roman"/>
          <w:b w:val="0"/>
          <w:bCs/>
          <w:color w:val="auto"/>
          <w:sz w:val="21"/>
          <w:szCs w:val="21"/>
          <w:highlight w:val="none"/>
          <w:lang w:eastAsia="zh-CN"/>
        </w:rPr>
        <w:t>（</w:t>
      </w:r>
      <w:r>
        <w:rPr>
          <w:rFonts w:hint="eastAsia" w:ascii="宋体" w:hAnsi="Times New Roman" w:eastAsia="宋体" w:cs="Times New Roman"/>
          <w:b w:val="0"/>
          <w:bCs/>
          <w:color w:val="auto"/>
          <w:sz w:val="21"/>
          <w:szCs w:val="21"/>
          <w:highlight w:val="none"/>
        </w:rPr>
        <w:t>允许联合体投标</w:t>
      </w:r>
      <w:r>
        <w:rPr>
          <w:rFonts w:hint="eastAsia" w:ascii="宋体" w:hAnsi="Times New Roman" w:eastAsia="宋体" w:cs="Times New Roman"/>
          <w:b w:val="0"/>
          <w:bCs/>
          <w:color w:val="auto"/>
          <w:sz w:val="21"/>
          <w:szCs w:val="21"/>
          <w:highlight w:val="none"/>
          <w:lang w:eastAsia="zh-CN"/>
        </w:rPr>
        <w:t>）</w:t>
      </w:r>
      <w:r>
        <w:rPr>
          <w:rFonts w:hint="eastAsia" w:ascii="宋体" w:hAnsi="Times New Roman" w:eastAsia="宋体" w:cs="Times New Roman"/>
          <w:b w:val="0"/>
          <w:bCs/>
          <w:color w:val="auto"/>
          <w:sz w:val="21"/>
          <w:szCs w:val="21"/>
          <w:highlight w:val="none"/>
        </w:rPr>
        <w:t>。</w:t>
      </w:r>
      <w:r>
        <w:rPr>
          <w:rFonts w:hint="eastAsia"/>
          <w:b w:val="0"/>
          <w:bCs/>
          <w:color w:val="auto"/>
          <w:sz w:val="21"/>
          <w:szCs w:val="21"/>
          <w:highlight w:val="none"/>
        </w:rPr>
        <w:t>为保证变频器系统的最佳调试和运行效果，须有变频器生产厂家派驻专业售后服务工程师，不接受代理商或生产厂家授权的集成商派人调试，调试人员需持有变频器生产公司证件和相关安全证书上岗服务。</w:t>
      </w:r>
      <w:r>
        <w:rPr>
          <w:rFonts w:hint="eastAsia"/>
          <w:b w:val="0"/>
          <w:bCs/>
          <w:color w:val="auto"/>
          <w:sz w:val="21"/>
          <w:szCs w:val="21"/>
          <w:highlight w:val="none"/>
          <w:lang w:val="en-US" w:eastAsia="zh-CN"/>
        </w:rPr>
        <w:t>要求</w:t>
      </w:r>
      <w:r>
        <w:rPr>
          <w:rFonts w:hint="eastAsia"/>
          <w:b w:val="0"/>
          <w:bCs/>
          <w:color w:val="auto"/>
          <w:sz w:val="21"/>
          <w:szCs w:val="21"/>
          <w:highlight w:val="none"/>
        </w:rPr>
        <w:t>随技术协议，一并附上生产厂家盖章的售后承诺函</w:t>
      </w:r>
      <w:r>
        <w:rPr>
          <w:rFonts w:hint="eastAsia"/>
          <w:b w:val="0"/>
          <w:bCs/>
          <w:color w:val="auto"/>
          <w:sz w:val="21"/>
          <w:szCs w:val="21"/>
          <w:highlight w:val="none"/>
          <w:lang w:eastAsia="zh-CN"/>
        </w:rPr>
        <w:t>。</w:t>
      </w:r>
    </w:p>
    <w:p w14:paraId="19BB34BF">
      <w:pPr>
        <w:pStyle w:val="2"/>
        <w:ind w:left="420" w:leftChars="200" w:firstLine="0" w:firstLineChars="0"/>
        <w:rPr>
          <w:rFonts w:hint="eastAsia"/>
          <w:b w:val="0"/>
          <w:bCs/>
          <w:sz w:val="21"/>
          <w:szCs w:val="21"/>
        </w:rPr>
      </w:pPr>
      <w:r>
        <w:rPr>
          <w:rFonts w:hint="eastAsia"/>
          <w:b w:val="0"/>
          <w:bCs/>
          <w:sz w:val="21"/>
          <w:szCs w:val="21"/>
        </w:rPr>
        <w:t>与本次改造有关的电缆的设计、安装、施工、试验、调试、防火封堵以及因施工拆除的防封</w:t>
      </w:r>
    </w:p>
    <w:p w14:paraId="6979FC98">
      <w:pPr>
        <w:pStyle w:val="2"/>
        <w:rPr>
          <w:rFonts w:hint="eastAsia"/>
          <w:b w:val="0"/>
          <w:bCs/>
          <w:sz w:val="21"/>
          <w:szCs w:val="21"/>
        </w:rPr>
      </w:pPr>
      <w:r>
        <w:rPr>
          <w:rFonts w:hint="eastAsia"/>
          <w:b w:val="0"/>
          <w:bCs/>
          <w:sz w:val="21"/>
          <w:szCs w:val="21"/>
        </w:rPr>
        <w:t>堵等归投标方配合，现场旧设备的拆除及搬运至指定位置由投标方负责配合。</w:t>
      </w:r>
    </w:p>
    <w:p w14:paraId="2B4E6FDE">
      <w:pPr>
        <w:pStyle w:val="2"/>
        <w:ind w:firstLine="420" w:firstLineChars="200"/>
        <w:rPr>
          <w:rFonts w:hint="eastAsia"/>
          <w:b w:val="0"/>
          <w:bCs/>
          <w:sz w:val="21"/>
          <w:szCs w:val="21"/>
        </w:rPr>
      </w:pPr>
      <w:r>
        <w:rPr>
          <w:rFonts w:hint="eastAsia"/>
          <w:b w:val="0"/>
          <w:bCs/>
          <w:sz w:val="21"/>
          <w:szCs w:val="21"/>
        </w:rPr>
        <w:t>电缆敷设：全部有关本项目包括（但不限于）电缆敷设设施如桥架、桥架上人行通道、竖井、各类保护管、各类支撑架及钢梁、电缆沟、等的设计，设备，施工全部由投标方负责</w:t>
      </w:r>
      <w:r>
        <w:rPr>
          <w:rFonts w:hint="eastAsia"/>
          <w:b w:val="0"/>
          <w:bCs/>
          <w:sz w:val="21"/>
          <w:szCs w:val="21"/>
          <w:lang w:eastAsia="zh-CN"/>
        </w:rPr>
        <w:t>（</w:t>
      </w:r>
      <w:r>
        <w:rPr>
          <w:rFonts w:hint="eastAsia"/>
          <w:b w:val="0"/>
          <w:bCs/>
          <w:sz w:val="21"/>
          <w:szCs w:val="21"/>
        </w:rPr>
        <w:t>有关本项目安装过程中电缆头制作所</w:t>
      </w:r>
      <w:r>
        <w:rPr>
          <w:rFonts w:hint="eastAsia"/>
          <w:b w:val="0"/>
          <w:bCs/>
          <w:sz w:val="21"/>
          <w:szCs w:val="21"/>
          <w:lang w:val="en-US" w:eastAsia="zh-CN"/>
        </w:rPr>
        <w:t>用</w:t>
      </w:r>
      <w:r>
        <w:rPr>
          <w:rFonts w:hint="eastAsia"/>
          <w:b w:val="0"/>
          <w:bCs/>
          <w:sz w:val="21"/>
          <w:szCs w:val="21"/>
        </w:rPr>
        <w:t>附件材料由投标方负责采购</w:t>
      </w:r>
      <w:r>
        <w:rPr>
          <w:rFonts w:hint="eastAsia"/>
          <w:b w:val="0"/>
          <w:bCs/>
          <w:sz w:val="21"/>
          <w:szCs w:val="21"/>
          <w:lang w:eastAsia="zh-CN"/>
        </w:rPr>
        <w:t>）</w:t>
      </w:r>
      <w:r>
        <w:rPr>
          <w:rFonts w:hint="eastAsia"/>
          <w:b w:val="0"/>
          <w:bCs/>
          <w:sz w:val="21"/>
          <w:szCs w:val="21"/>
        </w:rPr>
        <w:t>。</w:t>
      </w:r>
    </w:p>
    <w:p w14:paraId="26CA55AA">
      <w:pPr>
        <w:pStyle w:val="2"/>
        <w:ind w:firstLine="420" w:firstLineChars="200"/>
        <w:rPr>
          <w:rFonts w:hint="eastAsia"/>
          <w:b w:val="0"/>
          <w:bCs/>
          <w:sz w:val="21"/>
          <w:szCs w:val="21"/>
        </w:rPr>
      </w:pPr>
      <w:r>
        <w:rPr>
          <w:rFonts w:hint="eastAsia"/>
          <w:b w:val="0"/>
          <w:bCs/>
          <w:sz w:val="21"/>
          <w:szCs w:val="21"/>
        </w:rPr>
        <w:t>投标方负责本项目所有电缆防火封堵，负责电缆敷设、电缆绑扎、拆装电缆盖板、电缆敷设通道清理（含施工过程脚手架）。</w:t>
      </w:r>
    </w:p>
    <w:p w14:paraId="002F7BD9">
      <w:pPr>
        <w:pStyle w:val="2"/>
        <w:ind w:firstLine="420" w:firstLineChars="200"/>
        <w:rPr>
          <w:rFonts w:hint="eastAsia"/>
          <w:b w:val="0"/>
          <w:bCs/>
          <w:sz w:val="21"/>
          <w:szCs w:val="21"/>
        </w:rPr>
      </w:pPr>
      <w:r>
        <w:rPr>
          <w:rFonts w:hint="eastAsia"/>
          <w:b w:val="0"/>
          <w:bCs/>
          <w:sz w:val="21"/>
          <w:szCs w:val="21"/>
        </w:rPr>
        <w:t>接地：改造范围内设备的接地由投标方负责配合设计，供货，施工。</w:t>
      </w:r>
    </w:p>
    <w:p w14:paraId="36412E2E">
      <w:pPr>
        <w:pStyle w:val="2"/>
        <w:ind w:firstLine="420" w:firstLineChars="200"/>
        <w:rPr>
          <w:rFonts w:hint="eastAsia"/>
          <w:b w:val="0"/>
          <w:bCs/>
          <w:sz w:val="21"/>
          <w:szCs w:val="21"/>
        </w:rPr>
      </w:pPr>
      <w:r>
        <w:rPr>
          <w:rFonts w:hint="eastAsia"/>
          <w:b w:val="0"/>
          <w:bCs/>
          <w:sz w:val="21"/>
          <w:szCs w:val="21"/>
        </w:rPr>
        <w:t>标识：投标方需做的标识包括但不限于：预制舱、盘柜、桥架、竖井、电机、防火、电缆等，所做标识标准应与招标方现有运行设备一致。</w:t>
      </w:r>
    </w:p>
    <w:p w14:paraId="5D6F88EF">
      <w:pPr>
        <w:pStyle w:val="2"/>
        <w:spacing w:line="240" w:lineRule="auto"/>
        <w:ind w:firstLine="420" w:firstLineChars="200"/>
        <w:rPr>
          <w:rFonts w:hint="eastAsia"/>
          <w:b w:val="0"/>
          <w:bCs/>
          <w:sz w:val="21"/>
          <w:szCs w:val="21"/>
        </w:rPr>
      </w:pPr>
      <w:r>
        <w:rPr>
          <w:rFonts w:hint="eastAsia"/>
          <w:b w:val="0"/>
          <w:bCs/>
          <w:sz w:val="21"/>
          <w:szCs w:val="21"/>
        </w:rPr>
        <w:t>以上设施所需基础埋件、防火封堵等由投标方提供材料，施工过程中的所有脚手架及搭设由投标方自己负责。</w:t>
      </w:r>
    </w:p>
    <w:p w14:paraId="61C50987">
      <w:pPr>
        <w:pStyle w:val="2"/>
        <w:ind w:firstLine="420" w:firstLineChars="200"/>
        <w:rPr>
          <w:rFonts w:hint="eastAsia"/>
          <w:b w:val="0"/>
          <w:bCs/>
          <w:color w:val="auto"/>
          <w:sz w:val="21"/>
          <w:szCs w:val="21"/>
        </w:rPr>
      </w:pPr>
      <w:r>
        <w:rPr>
          <w:rFonts w:hint="eastAsia"/>
          <w:b w:val="0"/>
          <w:bCs/>
          <w:color w:val="auto"/>
          <w:sz w:val="21"/>
          <w:szCs w:val="21"/>
          <w:lang w:val="en-US" w:eastAsia="zh-CN"/>
        </w:rPr>
        <w:t>2.3</w:t>
      </w:r>
      <w:r>
        <w:rPr>
          <w:rFonts w:hint="eastAsia"/>
          <w:b w:val="0"/>
          <w:bCs/>
          <w:color w:val="auto"/>
          <w:sz w:val="21"/>
          <w:szCs w:val="21"/>
        </w:rPr>
        <w:t>.2热控设备安装施工应遵循（或符合）最新标准《电力建设施工技术规范第4部分：热工仪表及控制装置》DL_5190.4的要求。如采用标准及规范不能满足仪表及控制设备安装及施工的要求，则采用供货商推荐的有关规定、标准，但应经招标人确认。</w:t>
      </w:r>
    </w:p>
    <w:p w14:paraId="227A5156">
      <w:pPr>
        <w:pStyle w:val="2"/>
        <w:ind w:firstLine="420" w:firstLineChars="200"/>
        <w:rPr>
          <w:rFonts w:hint="eastAsia"/>
          <w:b w:val="0"/>
          <w:bCs/>
          <w:color w:val="auto"/>
          <w:sz w:val="21"/>
          <w:szCs w:val="21"/>
        </w:rPr>
      </w:pPr>
      <w:r>
        <w:rPr>
          <w:rFonts w:hint="eastAsia"/>
          <w:b w:val="0"/>
          <w:bCs/>
          <w:color w:val="auto"/>
          <w:sz w:val="21"/>
          <w:szCs w:val="21"/>
        </w:rPr>
        <w:t>本改造工程所有热工测量仪表(包括仪表导管、仪表阀门、接线盒、接线箱等所有安装附件) 及材料等均由投标方配套提供,系统内所有电缆（包括所有至控制系统接口的所有输入/输出电缆以及DCS机柜的电缆</w:t>
      </w:r>
      <w:r>
        <w:rPr>
          <w:rFonts w:hint="eastAsia"/>
          <w:b w:val="0"/>
          <w:bCs/>
          <w:color w:val="auto"/>
          <w:sz w:val="21"/>
          <w:szCs w:val="21"/>
          <w:lang w:eastAsia="zh-CN"/>
        </w:rPr>
        <w:t>）、</w:t>
      </w:r>
      <w:r>
        <w:rPr>
          <w:rFonts w:hint="eastAsia"/>
          <w:b w:val="0"/>
          <w:bCs/>
          <w:color w:val="auto"/>
          <w:sz w:val="21"/>
          <w:szCs w:val="21"/>
        </w:rPr>
        <w:t>DCS系统</w:t>
      </w:r>
      <w:r>
        <w:rPr>
          <w:rFonts w:hint="eastAsia"/>
          <w:b w:val="0"/>
          <w:bCs/>
          <w:color w:val="auto"/>
          <w:sz w:val="21"/>
          <w:szCs w:val="21"/>
          <w:lang w:val="en-US" w:eastAsia="zh-CN"/>
        </w:rPr>
        <w:t>卡件</w:t>
      </w:r>
      <w:r>
        <w:rPr>
          <w:rFonts w:hint="eastAsia"/>
          <w:b w:val="0"/>
          <w:bCs/>
          <w:color w:val="auto"/>
          <w:sz w:val="21"/>
          <w:szCs w:val="21"/>
        </w:rPr>
        <w:t>均由投标方负责设计、供货</w:t>
      </w:r>
      <w:r>
        <w:rPr>
          <w:rFonts w:hint="eastAsia"/>
          <w:b w:val="0"/>
          <w:bCs/>
          <w:color w:val="auto"/>
          <w:sz w:val="21"/>
          <w:szCs w:val="21"/>
          <w:lang w:eastAsia="zh-CN"/>
        </w:rPr>
        <w:t>，</w:t>
      </w:r>
      <w:r>
        <w:rPr>
          <w:rFonts w:hint="eastAsia"/>
          <w:b w:val="0"/>
          <w:bCs/>
          <w:color w:val="auto"/>
          <w:sz w:val="21"/>
          <w:szCs w:val="21"/>
          <w:lang w:val="en-US" w:eastAsia="zh-CN"/>
        </w:rPr>
        <w:t>热控设备</w:t>
      </w:r>
      <w:r>
        <w:rPr>
          <w:rFonts w:hint="eastAsia"/>
          <w:b w:val="0"/>
          <w:bCs/>
          <w:color w:val="auto"/>
          <w:sz w:val="21"/>
          <w:szCs w:val="21"/>
        </w:rPr>
        <w:t>安装、调试及DCS系统逻辑组态满足招标方的技术要求。</w:t>
      </w:r>
    </w:p>
    <w:p w14:paraId="2CD34079">
      <w:pPr>
        <w:pStyle w:val="2"/>
        <w:ind w:firstLine="420" w:firstLineChars="200"/>
        <w:rPr>
          <w:rFonts w:hint="eastAsia"/>
          <w:b w:val="0"/>
          <w:bCs/>
          <w:sz w:val="21"/>
          <w:szCs w:val="21"/>
        </w:rPr>
      </w:pPr>
      <w:r>
        <w:rPr>
          <w:rFonts w:hint="eastAsia"/>
          <w:b w:val="0"/>
          <w:bCs/>
          <w:sz w:val="21"/>
          <w:szCs w:val="21"/>
          <w:lang w:val="en-US" w:eastAsia="zh-CN"/>
        </w:rPr>
        <w:t>2.3</w:t>
      </w:r>
      <w:r>
        <w:rPr>
          <w:rFonts w:hint="eastAsia"/>
          <w:b w:val="0"/>
          <w:bCs/>
          <w:sz w:val="21"/>
          <w:szCs w:val="21"/>
        </w:rPr>
        <w:t>.3土建专业范围</w:t>
      </w:r>
      <w:r>
        <w:rPr>
          <w:rFonts w:hint="eastAsia"/>
          <w:b w:val="0"/>
          <w:bCs/>
          <w:sz w:val="21"/>
          <w:szCs w:val="21"/>
          <w:lang w:val="en-US" w:eastAsia="zh-CN"/>
        </w:rPr>
        <w:t>：</w:t>
      </w:r>
      <w:r>
        <w:rPr>
          <w:rFonts w:hint="eastAsia"/>
          <w:b w:val="0"/>
          <w:bCs/>
          <w:sz w:val="21"/>
          <w:szCs w:val="21"/>
        </w:rPr>
        <w:t>本次改造新增变频装置</w:t>
      </w:r>
      <w:r>
        <w:rPr>
          <w:rFonts w:hint="eastAsia"/>
          <w:b w:val="0"/>
          <w:bCs/>
          <w:sz w:val="21"/>
          <w:szCs w:val="21"/>
          <w:lang w:val="en-US" w:eastAsia="zh-CN"/>
        </w:rPr>
        <w:t>预制舱</w:t>
      </w:r>
      <w:r>
        <w:rPr>
          <w:rFonts w:hint="eastAsia"/>
          <w:b w:val="0"/>
          <w:bCs/>
          <w:sz w:val="21"/>
          <w:szCs w:val="21"/>
        </w:rPr>
        <w:t>基础、电缆沟等建筑设计、施工。</w:t>
      </w:r>
    </w:p>
    <w:p w14:paraId="72FAA9A4">
      <w:pPr>
        <w:pStyle w:val="2"/>
        <w:ind w:firstLine="420" w:firstLineChars="200"/>
        <w:rPr>
          <w:rFonts w:hint="eastAsia"/>
          <w:b w:val="0"/>
          <w:bCs/>
          <w:sz w:val="21"/>
          <w:szCs w:val="21"/>
        </w:rPr>
      </w:pPr>
      <w:r>
        <w:rPr>
          <w:rFonts w:hint="eastAsia"/>
          <w:b w:val="0"/>
          <w:bCs/>
          <w:sz w:val="21"/>
          <w:szCs w:val="21"/>
          <w:lang w:val="en-US" w:eastAsia="zh-CN"/>
        </w:rPr>
        <w:t>2.3</w:t>
      </w:r>
      <w:r>
        <w:rPr>
          <w:rFonts w:hint="eastAsia"/>
          <w:b w:val="0"/>
          <w:bCs/>
          <w:sz w:val="21"/>
          <w:szCs w:val="21"/>
        </w:rPr>
        <w:t>.4暖通专业范围</w:t>
      </w:r>
      <w:r>
        <w:rPr>
          <w:rFonts w:hint="eastAsia"/>
          <w:b w:val="0"/>
          <w:bCs/>
          <w:sz w:val="21"/>
          <w:szCs w:val="21"/>
          <w:lang w:eastAsia="zh-CN"/>
        </w:rPr>
        <w:t>：</w:t>
      </w:r>
      <w:r>
        <w:rPr>
          <w:rFonts w:hint="eastAsia"/>
          <w:b w:val="0"/>
          <w:bCs/>
          <w:sz w:val="21"/>
          <w:szCs w:val="21"/>
        </w:rPr>
        <w:t>新增变频装置</w:t>
      </w:r>
      <w:r>
        <w:rPr>
          <w:rFonts w:hint="eastAsia"/>
          <w:b w:val="0"/>
          <w:bCs/>
          <w:sz w:val="21"/>
          <w:szCs w:val="21"/>
          <w:lang w:val="en-US" w:eastAsia="zh-CN"/>
        </w:rPr>
        <w:t>预制舱配套冷却</w:t>
      </w:r>
      <w:r>
        <w:rPr>
          <w:rFonts w:hint="eastAsia"/>
          <w:b w:val="0"/>
          <w:bCs/>
          <w:sz w:val="21"/>
          <w:szCs w:val="21"/>
        </w:rPr>
        <w:t>系统的设计、安装、调试等。</w:t>
      </w:r>
    </w:p>
    <w:p w14:paraId="0F5D0A01">
      <w:pPr>
        <w:pStyle w:val="2"/>
        <w:ind w:firstLine="420" w:firstLineChars="200"/>
        <w:rPr>
          <w:rFonts w:hint="eastAsia"/>
          <w:b w:val="0"/>
          <w:bCs/>
          <w:sz w:val="21"/>
          <w:szCs w:val="21"/>
        </w:rPr>
      </w:pPr>
      <w:r>
        <w:rPr>
          <w:rFonts w:hint="eastAsia"/>
          <w:b w:val="0"/>
          <w:bCs/>
          <w:sz w:val="21"/>
          <w:szCs w:val="21"/>
          <w:lang w:val="en-US" w:eastAsia="zh-CN"/>
        </w:rPr>
        <w:t>2.3</w:t>
      </w:r>
      <w:r>
        <w:rPr>
          <w:rFonts w:hint="eastAsia"/>
          <w:b w:val="0"/>
          <w:bCs/>
          <w:sz w:val="21"/>
          <w:szCs w:val="21"/>
        </w:rPr>
        <w:t>.5消防系统范围</w:t>
      </w:r>
      <w:r>
        <w:rPr>
          <w:rFonts w:hint="eastAsia"/>
          <w:b w:val="0"/>
          <w:bCs/>
          <w:sz w:val="21"/>
          <w:szCs w:val="21"/>
          <w:lang w:eastAsia="zh-CN"/>
        </w:rPr>
        <w:t>：</w:t>
      </w:r>
      <w:r>
        <w:rPr>
          <w:rFonts w:hint="eastAsia"/>
          <w:b w:val="0"/>
          <w:bCs/>
          <w:sz w:val="21"/>
          <w:szCs w:val="21"/>
        </w:rPr>
        <w:t>新增变频装置</w:t>
      </w:r>
      <w:r>
        <w:rPr>
          <w:rFonts w:hint="eastAsia"/>
          <w:b w:val="0"/>
          <w:bCs/>
          <w:sz w:val="21"/>
          <w:szCs w:val="21"/>
          <w:lang w:val="en-US" w:eastAsia="zh-CN"/>
        </w:rPr>
        <w:t>预制舱</w:t>
      </w:r>
      <w:r>
        <w:rPr>
          <w:rFonts w:hint="eastAsia"/>
          <w:b w:val="0"/>
          <w:bCs/>
          <w:sz w:val="21"/>
          <w:szCs w:val="21"/>
        </w:rPr>
        <w:t>配套消防系统设计、安装、调试等。</w:t>
      </w:r>
    </w:p>
    <w:p w14:paraId="550B64E4">
      <w:pPr>
        <w:pStyle w:val="2"/>
        <w:rPr>
          <w:rFonts w:hint="eastAsia"/>
          <w:sz w:val="21"/>
          <w:szCs w:val="21"/>
        </w:rPr>
      </w:pPr>
      <w:r>
        <w:rPr>
          <w:sz w:val="21"/>
          <w:szCs w:val="21"/>
        </w:rPr>
        <w:br w:type="page"/>
      </w:r>
      <w:bookmarkStart w:id="23" w:name="_Toc264037161"/>
      <w:r>
        <w:rPr>
          <w:rFonts w:hint="eastAsia"/>
          <w:sz w:val="21"/>
          <w:szCs w:val="21"/>
        </w:rPr>
        <w:t>附</w:t>
      </w:r>
      <w:bookmarkStart w:id="24" w:name="_Hlt15553831"/>
      <w:bookmarkEnd w:id="24"/>
      <w:r>
        <w:rPr>
          <w:rFonts w:hint="eastAsia"/>
          <w:sz w:val="21"/>
          <w:szCs w:val="21"/>
        </w:rPr>
        <w:t>件</w:t>
      </w:r>
      <w:r>
        <w:rPr>
          <w:sz w:val="21"/>
          <w:szCs w:val="21"/>
        </w:rPr>
        <w:t xml:space="preserve">3 </w:t>
      </w:r>
      <w:r>
        <w:rPr>
          <w:rFonts w:hint="eastAsia"/>
          <w:sz w:val="21"/>
          <w:szCs w:val="21"/>
        </w:rPr>
        <w:t>技术资料和交付进度</w:t>
      </w:r>
      <w:bookmarkEnd w:id="18"/>
      <w:bookmarkEnd w:id="19"/>
      <w:bookmarkEnd w:id="20"/>
      <w:bookmarkEnd w:id="23"/>
    </w:p>
    <w:bookmarkEnd w:id="21"/>
    <w:bookmarkEnd w:id="22"/>
    <w:p w14:paraId="7DE3A3F6">
      <w:pPr>
        <w:tabs>
          <w:tab w:val="left" w:pos="780"/>
        </w:tabs>
        <w:spacing w:before="120" w:after="120" w:line="360" w:lineRule="auto"/>
        <w:rPr>
          <w:rFonts w:ascii="宋体" w:hAnsi="宋体"/>
          <w:szCs w:val="21"/>
        </w:rPr>
      </w:pPr>
      <w:r>
        <w:rPr>
          <w:rFonts w:hint="eastAsia" w:ascii="宋体" w:hAnsi="宋体"/>
          <w:szCs w:val="21"/>
        </w:rPr>
        <w:t>1 一般要求</w:t>
      </w:r>
      <w:bookmarkStart w:id="25" w:name="_Hlt99441248"/>
      <w:bookmarkEnd w:id="25"/>
    </w:p>
    <w:p w14:paraId="6CF7FA06">
      <w:pPr>
        <w:spacing w:line="360" w:lineRule="auto"/>
        <w:outlineLvl w:val="0"/>
        <w:rPr>
          <w:rFonts w:hint="eastAsia" w:ascii="Arial" w:hAnsi="Arial"/>
          <w:szCs w:val="21"/>
        </w:rPr>
      </w:pPr>
      <w:bookmarkStart w:id="26" w:name="_Toc264037162"/>
      <w:r>
        <w:rPr>
          <w:rFonts w:hint="eastAsia" w:ascii="Arial" w:hAnsi="Arial"/>
          <w:szCs w:val="21"/>
        </w:rPr>
        <w:t>1</w:t>
      </w:r>
      <w:r>
        <w:rPr>
          <w:rFonts w:hint="eastAsia" w:ascii="Arial" w:hAnsi="Arial"/>
          <w:szCs w:val="21"/>
        </w:rPr>
        <w:tab/>
      </w:r>
      <w:r>
        <w:rPr>
          <w:rFonts w:hint="eastAsia" w:ascii="Arial" w:hAnsi="Arial"/>
          <w:szCs w:val="21"/>
        </w:rPr>
        <w:t>一般要求</w:t>
      </w:r>
      <w:bookmarkEnd w:id="26"/>
    </w:p>
    <w:p w14:paraId="073578BC">
      <w:pPr>
        <w:spacing w:line="360" w:lineRule="auto"/>
        <w:rPr>
          <w:rFonts w:hint="eastAsia" w:ascii="Arial" w:hAnsi="Arial"/>
          <w:szCs w:val="21"/>
        </w:rPr>
      </w:pPr>
      <w:r>
        <w:rPr>
          <w:rFonts w:hint="eastAsia" w:ascii="Arial" w:hAnsi="Arial"/>
          <w:szCs w:val="21"/>
        </w:rPr>
        <w:t>1.1投标方提供的资料应使用国家法定单位制即国际单位制，语言为中文。</w:t>
      </w:r>
    </w:p>
    <w:p w14:paraId="7F1A5C8C">
      <w:pPr>
        <w:spacing w:line="360" w:lineRule="auto"/>
        <w:rPr>
          <w:rFonts w:hint="eastAsia" w:ascii="Arial" w:hAnsi="Arial"/>
          <w:szCs w:val="21"/>
        </w:rPr>
      </w:pPr>
      <w:r>
        <w:rPr>
          <w:rFonts w:hint="eastAsia" w:ascii="Arial" w:hAnsi="Arial"/>
          <w:szCs w:val="21"/>
        </w:rPr>
        <w:t>1.2投标方提供的图纸、资料应清晰，不得提供缩微、复印的图纸、资料。</w:t>
      </w:r>
    </w:p>
    <w:p w14:paraId="21216105">
      <w:pPr>
        <w:spacing w:line="360" w:lineRule="auto"/>
        <w:rPr>
          <w:rFonts w:hint="eastAsia" w:ascii="Arial" w:hAnsi="Arial"/>
          <w:szCs w:val="21"/>
        </w:rPr>
      </w:pPr>
      <w:r>
        <w:rPr>
          <w:rFonts w:hint="eastAsia" w:ascii="Arial" w:hAnsi="Arial"/>
          <w:szCs w:val="21"/>
        </w:rPr>
        <w:t>1.3投标方提供设计院的各阶段图纸、资料为2套、电子版1套；其中提供的图纸电子文本为</w:t>
      </w:r>
      <w:r>
        <w:rPr>
          <w:rFonts w:ascii="Arial" w:hAnsi="Arial"/>
          <w:szCs w:val="21"/>
        </w:rPr>
        <w:t>AUTOCAD</w:t>
      </w:r>
      <w:r>
        <w:rPr>
          <w:rFonts w:hint="eastAsia" w:ascii="Arial" w:hAnsi="Arial"/>
          <w:szCs w:val="21"/>
        </w:rPr>
        <w:t xml:space="preserve"> ，文字资料及说明电子文本为Word或Excel</w:t>
      </w:r>
      <w:r>
        <w:rPr>
          <w:rFonts w:hint="eastAsia"/>
          <w:color w:val="auto"/>
          <w:highlight w:val="none"/>
        </w:rPr>
        <w:t>或可编辑的PDF格式</w:t>
      </w:r>
      <w:r>
        <w:rPr>
          <w:rFonts w:hint="eastAsia"/>
          <w:color w:val="auto"/>
          <w:highlight w:val="none"/>
          <w:lang w:eastAsia="zh-CN"/>
        </w:rPr>
        <w:t>。</w:t>
      </w:r>
      <w:r>
        <w:rPr>
          <w:rFonts w:hint="eastAsia" w:ascii="Arial" w:hAnsi="Arial"/>
          <w:szCs w:val="21"/>
        </w:rPr>
        <w:t>电子版应以U盘形式提供。</w:t>
      </w:r>
    </w:p>
    <w:p w14:paraId="1860DD61">
      <w:pPr>
        <w:spacing w:line="360" w:lineRule="auto"/>
        <w:rPr>
          <w:rFonts w:hint="eastAsia" w:ascii="Arial" w:hAnsi="Arial"/>
          <w:szCs w:val="21"/>
        </w:rPr>
      </w:pPr>
      <w:r>
        <w:rPr>
          <w:rFonts w:hint="eastAsia" w:ascii="Arial" w:hAnsi="Arial"/>
          <w:szCs w:val="21"/>
        </w:rPr>
        <w:t>1.4投标方提供的各阶段图纸、资料应注明“配合资料”或“施工图”，“施工图”即为最终版；最终版图纸、资料应为签署和标示齐全的蓝图。</w:t>
      </w:r>
    </w:p>
    <w:p w14:paraId="440441C3">
      <w:pPr>
        <w:spacing w:line="360" w:lineRule="auto"/>
        <w:rPr>
          <w:rFonts w:hint="eastAsia" w:ascii="Arial" w:hAnsi="Arial"/>
          <w:szCs w:val="21"/>
        </w:rPr>
      </w:pPr>
      <w:r>
        <w:rPr>
          <w:rFonts w:hint="eastAsia" w:ascii="Arial" w:hAnsi="Arial"/>
          <w:szCs w:val="21"/>
        </w:rPr>
        <w:t>1.5投标方如对最终版图纸、资料进行修改，应在修改处作出清楚的标注，以便使投标方能轻易的识别。</w:t>
      </w:r>
    </w:p>
    <w:p w14:paraId="7C854967">
      <w:pPr>
        <w:spacing w:line="360" w:lineRule="auto"/>
        <w:rPr>
          <w:rFonts w:hint="eastAsia"/>
          <w:color w:val="auto"/>
          <w:sz w:val="24"/>
        </w:rPr>
      </w:pPr>
      <w:r>
        <w:rPr>
          <w:rFonts w:hint="eastAsia" w:ascii="Arial" w:hAnsi="Arial"/>
          <w:szCs w:val="21"/>
        </w:rPr>
        <w:t>1.6对于其它没有列入合同技术资料清单，却是工程所必需文件和资料，一经发现，投标方应及时免费提供。</w:t>
      </w:r>
      <w:r>
        <w:rPr>
          <w:rFonts w:hint="eastAsia"/>
          <w:color w:val="auto"/>
          <w:sz w:val="21"/>
          <w:szCs w:val="21"/>
        </w:rPr>
        <w:t>供方提供的最终中文技术资料为</w:t>
      </w:r>
      <w:r>
        <w:rPr>
          <w:rFonts w:hint="eastAsia"/>
          <w:color w:val="auto"/>
          <w:sz w:val="21"/>
          <w:szCs w:val="21"/>
          <w:lang w:val="en-US" w:eastAsia="zh-CN"/>
        </w:rPr>
        <w:t>6</w:t>
      </w:r>
      <w:r>
        <w:rPr>
          <w:rFonts w:hint="eastAsia"/>
          <w:color w:val="auto"/>
          <w:sz w:val="21"/>
          <w:szCs w:val="21"/>
        </w:rPr>
        <w:t>套，电子文本2套。</w:t>
      </w:r>
    </w:p>
    <w:p w14:paraId="52927425">
      <w:pPr>
        <w:spacing w:line="360" w:lineRule="auto"/>
        <w:rPr>
          <w:rFonts w:ascii="宋体" w:hAnsi="宋体"/>
          <w:szCs w:val="21"/>
        </w:rPr>
      </w:pPr>
    </w:p>
    <w:p w14:paraId="5E904FA2">
      <w:pPr>
        <w:spacing w:line="360" w:lineRule="auto"/>
        <w:rPr>
          <w:rFonts w:hint="eastAsia" w:ascii="宋体" w:hAnsi="宋体"/>
          <w:szCs w:val="21"/>
        </w:rPr>
      </w:pPr>
      <w:r>
        <w:rPr>
          <w:rFonts w:hint="eastAsia" w:ascii="宋体" w:hAnsi="宋体"/>
          <w:szCs w:val="21"/>
        </w:rPr>
        <w:t>2 资料提交的内容</w:t>
      </w:r>
    </w:p>
    <w:p w14:paraId="6D36751C">
      <w:pPr>
        <w:spacing w:line="360" w:lineRule="auto"/>
        <w:rPr>
          <w:rFonts w:hint="eastAsia" w:ascii="宋体" w:hAnsi="宋体"/>
          <w:color w:val="000000"/>
          <w:szCs w:val="21"/>
        </w:rPr>
      </w:pPr>
      <w:bookmarkStart w:id="27" w:name="_Toc396528491"/>
      <w:bookmarkStart w:id="28" w:name="_Toc397174645"/>
      <w:bookmarkStart w:id="29" w:name="_Toc396990275"/>
      <w:bookmarkStart w:id="30" w:name="_Toc501726284"/>
      <w:bookmarkStart w:id="31" w:name="_Toc501336193"/>
      <w:bookmarkStart w:id="32" w:name="_Toc396527845"/>
      <w:bookmarkStart w:id="33" w:name="_Toc396529284"/>
      <w:bookmarkStart w:id="34" w:name="_Toc502370876"/>
      <w:bookmarkStart w:id="35" w:name="_Toc396528060"/>
      <w:bookmarkStart w:id="36" w:name="_Toc397175916"/>
      <w:bookmarkStart w:id="37" w:name="_Toc397131860"/>
      <w:bookmarkStart w:id="38" w:name="_Toc396988661"/>
      <w:bookmarkStart w:id="39" w:name="_Toc399318770"/>
      <w:r>
        <w:rPr>
          <w:rFonts w:hint="eastAsia" w:ascii="宋体" w:hAnsi="宋体"/>
          <w:color w:val="000000"/>
          <w:szCs w:val="21"/>
        </w:rPr>
        <w:t>2.1 在合同或技术协议签订后，卖方向买方提供下列技术文件</w:t>
      </w:r>
      <w:r>
        <w:rPr>
          <w:rFonts w:hint="eastAsia" w:ascii="宋体" w:hAnsi="宋体"/>
          <w:color w:val="000000"/>
          <w:szCs w:val="21"/>
          <w:u w:val="single"/>
        </w:rPr>
        <w:t xml:space="preserve"> 两 </w:t>
      </w:r>
      <w:r>
        <w:rPr>
          <w:rFonts w:hint="eastAsia" w:ascii="宋体" w:hAnsi="宋体"/>
          <w:color w:val="000000"/>
          <w:szCs w:val="21"/>
        </w:rPr>
        <w:t>份，并同时提供电子版本(USB盘)。</w:t>
      </w:r>
    </w:p>
    <w:bookmarkEnd w:id="27"/>
    <w:bookmarkEnd w:id="28"/>
    <w:bookmarkEnd w:id="29"/>
    <w:bookmarkEnd w:id="30"/>
    <w:bookmarkEnd w:id="31"/>
    <w:bookmarkEnd w:id="32"/>
    <w:bookmarkEnd w:id="33"/>
    <w:bookmarkEnd w:id="34"/>
    <w:bookmarkEnd w:id="35"/>
    <w:bookmarkEnd w:id="36"/>
    <w:bookmarkEnd w:id="37"/>
    <w:bookmarkEnd w:id="38"/>
    <w:bookmarkEnd w:id="39"/>
    <w:tbl>
      <w:tblPr>
        <w:tblStyle w:val="5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36" w:type="dxa"/>
          <w:bottom w:w="0" w:type="dxa"/>
          <w:right w:w="36" w:type="dxa"/>
        </w:tblCellMar>
      </w:tblPr>
      <w:tblGrid>
        <w:gridCol w:w="726"/>
        <w:gridCol w:w="6806"/>
        <w:gridCol w:w="1384"/>
      </w:tblGrid>
      <w:tr w14:paraId="0E14B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6" w:type="dxa"/>
            <w:bottom w:w="0" w:type="dxa"/>
            <w:right w:w="36" w:type="dxa"/>
          </w:tblCellMar>
        </w:tblPrEx>
        <w:trPr>
          <w:trHeight w:val="720" w:hRule="exact"/>
          <w:jc w:val="center"/>
        </w:trPr>
        <w:tc>
          <w:tcPr>
            <w:tcW w:w="726" w:type="dxa"/>
            <w:tcBorders>
              <w:top w:val="single" w:color="auto" w:sz="12" w:space="0"/>
              <w:bottom w:val="single" w:color="auto" w:sz="12" w:space="0"/>
            </w:tcBorders>
            <w:noWrap w:val="0"/>
            <w:vAlign w:val="center"/>
          </w:tcPr>
          <w:p w14:paraId="37299935">
            <w:pPr>
              <w:spacing w:line="360" w:lineRule="auto"/>
              <w:jc w:val="center"/>
              <w:rPr>
                <w:rFonts w:hint="eastAsia" w:ascii="宋体" w:hAnsi="宋体"/>
                <w:b/>
                <w:color w:val="000000"/>
                <w:szCs w:val="21"/>
              </w:rPr>
            </w:pPr>
            <w:r>
              <w:rPr>
                <w:rFonts w:hint="eastAsia" w:ascii="宋体" w:hAnsi="宋体"/>
                <w:b/>
                <w:color w:val="000000"/>
                <w:szCs w:val="21"/>
              </w:rPr>
              <w:t>序号</w:t>
            </w:r>
          </w:p>
        </w:tc>
        <w:tc>
          <w:tcPr>
            <w:tcW w:w="6806" w:type="dxa"/>
            <w:tcBorders>
              <w:top w:val="single" w:color="auto" w:sz="12" w:space="0"/>
              <w:bottom w:val="single" w:color="auto" w:sz="12" w:space="0"/>
            </w:tcBorders>
            <w:noWrap w:val="0"/>
            <w:vAlign w:val="center"/>
          </w:tcPr>
          <w:p w14:paraId="07698999">
            <w:pPr>
              <w:spacing w:line="360" w:lineRule="auto"/>
              <w:jc w:val="center"/>
              <w:rPr>
                <w:rFonts w:hint="eastAsia" w:ascii="宋体" w:hAnsi="宋体"/>
                <w:b/>
                <w:color w:val="000000"/>
                <w:szCs w:val="21"/>
              </w:rPr>
            </w:pPr>
            <w:r>
              <w:rPr>
                <w:rFonts w:hint="eastAsia" w:ascii="宋体" w:hAnsi="宋体"/>
                <w:b/>
                <w:color w:val="000000"/>
                <w:szCs w:val="21"/>
              </w:rPr>
              <w:t>文    件    内    容</w:t>
            </w:r>
          </w:p>
        </w:tc>
        <w:tc>
          <w:tcPr>
            <w:tcW w:w="1384" w:type="dxa"/>
            <w:tcBorders>
              <w:top w:val="single" w:color="auto" w:sz="12" w:space="0"/>
              <w:bottom w:val="single" w:color="auto" w:sz="12" w:space="0"/>
            </w:tcBorders>
            <w:noWrap w:val="0"/>
            <w:vAlign w:val="center"/>
          </w:tcPr>
          <w:p w14:paraId="768A735D">
            <w:pPr>
              <w:spacing w:line="360" w:lineRule="auto"/>
              <w:jc w:val="center"/>
              <w:rPr>
                <w:rFonts w:hint="eastAsia" w:ascii="宋体" w:hAnsi="宋体"/>
                <w:b/>
                <w:color w:val="000000"/>
                <w:szCs w:val="21"/>
              </w:rPr>
            </w:pPr>
            <w:r>
              <w:rPr>
                <w:rFonts w:hint="eastAsia" w:ascii="宋体" w:hAnsi="宋体"/>
                <w:b/>
                <w:color w:val="000000"/>
                <w:szCs w:val="21"/>
              </w:rPr>
              <w:t>交付时间</w:t>
            </w:r>
          </w:p>
        </w:tc>
      </w:tr>
      <w:tr w14:paraId="3CD65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6" w:type="dxa"/>
            <w:bottom w:w="0" w:type="dxa"/>
            <w:right w:w="36" w:type="dxa"/>
          </w:tblCellMar>
        </w:tblPrEx>
        <w:trPr>
          <w:cantSplit/>
          <w:jc w:val="center"/>
        </w:trPr>
        <w:tc>
          <w:tcPr>
            <w:tcW w:w="726" w:type="dxa"/>
            <w:tcBorders>
              <w:top w:val="nil"/>
            </w:tcBorders>
            <w:noWrap w:val="0"/>
            <w:vAlign w:val="center"/>
          </w:tcPr>
          <w:p w14:paraId="4C98E996">
            <w:pPr>
              <w:spacing w:line="360" w:lineRule="auto"/>
              <w:jc w:val="center"/>
              <w:rPr>
                <w:rFonts w:hint="eastAsia" w:ascii="宋体" w:hAnsi="宋体"/>
                <w:color w:val="000000"/>
                <w:szCs w:val="21"/>
              </w:rPr>
            </w:pPr>
            <w:r>
              <w:rPr>
                <w:rFonts w:hint="eastAsia" w:ascii="宋体" w:hAnsi="宋体"/>
                <w:color w:val="000000"/>
                <w:szCs w:val="21"/>
              </w:rPr>
              <w:t>1</w:t>
            </w:r>
          </w:p>
        </w:tc>
        <w:tc>
          <w:tcPr>
            <w:tcW w:w="6806" w:type="dxa"/>
            <w:tcBorders>
              <w:top w:val="nil"/>
            </w:tcBorders>
            <w:noWrap w:val="0"/>
            <w:vAlign w:val="top"/>
          </w:tcPr>
          <w:p w14:paraId="60F85622">
            <w:pPr>
              <w:spacing w:line="360" w:lineRule="auto"/>
              <w:rPr>
                <w:rFonts w:hint="eastAsia" w:ascii="宋体" w:hAnsi="宋体"/>
                <w:szCs w:val="21"/>
              </w:rPr>
            </w:pPr>
            <w:r>
              <w:rPr>
                <w:rFonts w:hint="eastAsia" w:ascii="宋体" w:hAnsi="宋体"/>
                <w:szCs w:val="21"/>
              </w:rPr>
              <w:t>图纸类：</w:t>
            </w:r>
          </w:p>
          <w:p w14:paraId="494BCC2A">
            <w:pPr>
              <w:keepNext w:val="0"/>
              <w:keepLines w:val="0"/>
              <w:pageBreakBefore w:val="0"/>
              <w:widowControl/>
              <w:tabs>
                <w:tab w:val="left" w:pos="6019"/>
              </w:tabs>
              <w:kinsoku/>
              <w:wordWrap/>
              <w:overflowPunct/>
              <w:topLinePunct w:val="0"/>
              <w:autoSpaceDE/>
              <w:autoSpaceDN/>
              <w:bidi w:val="0"/>
              <w:adjustRightInd/>
              <w:snapToGrid/>
              <w:spacing w:before="0" w:after="0" w:line="360" w:lineRule="auto"/>
              <w:ind w:right="0"/>
              <w:jc w:val="both"/>
              <w:textAlignment w:val="auto"/>
              <w:rPr>
                <w:rFonts w:hint="eastAsia" w:ascii="宋体" w:hAnsi="宋体" w:eastAsia="宋体" w:cs="宋体"/>
                <w:bCs w:val="0"/>
                <w:i w:val="0"/>
                <w:iCs w:val="0"/>
                <w:color w:val="auto"/>
                <w:sz w:val="21"/>
                <w:szCs w:val="21"/>
                <w:highlight w:val="none"/>
                <w:lang w:val="en-US" w:eastAsia="zh-CN" w:bidi="ar-SA"/>
              </w:rPr>
            </w:pPr>
            <w:r>
              <w:rPr>
                <w:rFonts w:hint="eastAsia" w:ascii="宋体" w:hAnsi="宋体" w:eastAsia="宋体" w:cs="宋体"/>
                <w:bCs w:val="0"/>
                <w:i w:val="0"/>
                <w:iCs w:val="0"/>
                <w:color w:val="auto"/>
                <w:sz w:val="21"/>
                <w:szCs w:val="21"/>
                <w:highlight w:val="none"/>
                <w:lang w:val="en-US" w:eastAsia="zh-CN" w:bidi="ar-SA"/>
              </w:rPr>
              <w:t>a.变频器设备原理及配置图，控制原理图、控制接线图、</w:t>
            </w:r>
            <w:r>
              <w:rPr>
                <w:rFonts w:hint="eastAsia" w:ascii="宋体" w:hAnsi="宋体"/>
                <w:szCs w:val="21"/>
              </w:rPr>
              <w:t>端子排图以及电缆联系图</w:t>
            </w:r>
            <w:r>
              <w:rPr>
                <w:rFonts w:hint="eastAsia" w:ascii="宋体" w:hAnsi="宋体" w:eastAsia="宋体" w:cs="宋体"/>
                <w:bCs w:val="0"/>
                <w:i w:val="0"/>
                <w:iCs w:val="0"/>
                <w:color w:val="auto"/>
                <w:sz w:val="21"/>
                <w:szCs w:val="21"/>
                <w:highlight w:val="none"/>
                <w:lang w:val="en-US" w:eastAsia="zh-CN" w:bidi="ar-SA"/>
              </w:rPr>
              <w:t>，设备安装布置图；电缆清册，设备清册(包括名称、型号、安装位置、数量、生产厂家等)</w:t>
            </w:r>
          </w:p>
          <w:p w14:paraId="47EFAB11">
            <w:pPr>
              <w:keepNext w:val="0"/>
              <w:keepLines w:val="0"/>
              <w:pageBreakBefore w:val="0"/>
              <w:widowControl/>
              <w:tabs>
                <w:tab w:val="left" w:pos="6019"/>
              </w:tabs>
              <w:kinsoku/>
              <w:wordWrap/>
              <w:overflowPunct/>
              <w:topLinePunct w:val="0"/>
              <w:autoSpaceDE/>
              <w:autoSpaceDN/>
              <w:bidi w:val="0"/>
              <w:adjustRightInd/>
              <w:snapToGrid/>
              <w:spacing w:before="0" w:after="0" w:line="360" w:lineRule="auto"/>
              <w:ind w:right="0"/>
              <w:jc w:val="both"/>
              <w:textAlignment w:val="auto"/>
              <w:rPr>
                <w:rFonts w:hint="eastAsia" w:ascii="宋体" w:hAnsi="宋体"/>
                <w:szCs w:val="21"/>
              </w:rPr>
            </w:pPr>
            <w:r>
              <w:rPr>
                <w:rFonts w:hint="eastAsia" w:ascii="宋体" w:hAnsi="宋体"/>
                <w:szCs w:val="21"/>
                <w:lang w:val="en-US" w:eastAsia="zh-CN"/>
              </w:rPr>
              <w:t>b.安</w:t>
            </w:r>
            <w:r>
              <w:rPr>
                <w:rFonts w:hint="eastAsia" w:ascii="宋体" w:hAnsi="宋体"/>
                <w:szCs w:val="21"/>
              </w:rPr>
              <w:t>装图</w:t>
            </w:r>
            <w:r>
              <w:rPr>
                <w:rFonts w:hint="eastAsia" w:ascii="宋体" w:hAnsi="宋体"/>
                <w:szCs w:val="21"/>
                <w:lang w:eastAsia="zh-CN"/>
              </w:rPr>
              <w:t>（</w:t>
            </w:r>
            <w:r>
              <w:rPr>
                <w:rFonts w:hint="eastAsia" w:ascii="宋体" w:hAnsi="宋体"/>
                <w:szCs w:val="21"/>
              </w:rPr>
              <w:t>设备总的装配情况，包括外形尺寸、设备的重心位置与总重量</w:t>
            </w:r>
            <w:r>
              <w:rPr>
                <w:rFonts w:hint="eastAsia" w:ascii="宋体" w:hAnsi="宋体"/>
                <w:szCs w:val="21"/>
                <w:lang w:eastAsia="zh-CN"/>
              </w:rPr>
              <w:t>，</w:t>
            </w:r>
            <w:r>
              <w:rPr>
                <w:rFonts w:hint="eastAsia" w:ascii="宋体" w:hAnsi="宋体"/>
                <w:szCs w:val="21"/>
              </w:rPr>
              <w:t>运输尺寸和重量；电缆接口位置等并附有电气特性数据；机柜组装后排风系统布置图</w:t>
            </w:r>
            <w:r>
              <w:rPr>
                <w:rFonts w:hint="eastAsia" w:ascii="宋体" w:hAnsi="宋体"/>
                <w:szCs w:val="21"/>
                <w:lang w:eastAsia="zh-CN"/>
              </w:rPr>
              <w:t>）</w:t>
            </w:r>
            <w:r>
              <w:rPr>
                <w:rFonts w:hint="eastAsia" w:ascii="宋体" w:hAnsi="宋体"/>
                <w:szCs w:val="21"/>
              </w:rPr>
              <w:t>；</w:t>
            </w:r>
          </w:p>
          <w:p w14:paraId="15D502A0">
            <w:pPr>
              <w:numPr>
                <w:ilvl w:val="0"/>
                <w:numId w:val="0"/>
              </w:numPr>
              <w:spacing w:line="360" w:lineRule="auto"/>
              <w:ind w:leftChars="0"/>
              <w:rPr>
                <w:rFonts w:hint="eastAsia" w:ascii="宋体" w:hAnsi="宋体"/>
                <w:szCs w:val="21"/>
              </w:rPr>
            </w:pPr>
            <w:r>
              <w:rPr>
                <w:rFonts w:hint="eastAsia" w:ascii="宋体" w:hAnsi="宋体"/>
                <w:szCs w:val="21"/>
                <w:lang w:val="en-US" w:eastAsia="zh-CN"/>
              </w:rPr>
              <w:t>c.</w:t>
            </w:r>
            <w:r>
              <w:rPr>
                <w:rFonts w:hint="eastAsia" w:ascii="宋体" w:hAnsi="宋体"/>
                <w:szCs w:val="21"/>
              </w:rPr>
              <w:t>基础图：标明设备及其</w:t>
            </w:r>
            <w:r>
              <w:rPr>
                <w:rFonts w:hint="eastAsia" w:ascii="宋体" w:hAnsi="宋体"/>
                <w:szCs w:val="21"/>
                <w:lang w:val="en-US" w:eastAsia="zh-CN"/>
              </w:rPr>
              <w:t>固定</w:t>
            </w:r>
            <w:r>
              <w:rPr>
                <w:rFonts w:hint="eastAsia" w:ascii="宋体" w:hAnsi="宋体"/>
                <w:szCs w:val="21"/>
              </w:rPr>
              <w:t>螺栓的位置和尺寸（包括分管定位、规格及各附件配置图）；作用于设备基础的静态力；接地螺栓的位置和尺寸等；</w:t>
            </w:r>
          </w:p>
          <w:p w14:paraId="365462B2">
            <w:pPr>
              <w:numPr>
                <w:ilvl w:val="0"/>
                <w:numId w:val="0"/>
              </w:numPr>
              <w:spacing w:line="360" w:lineRule="auto"/>
              <w:ind w:leftChars="0"/>
              <w:rPr>
                <w:rFonts w:hint="eastAsia" w:ascii="宋体" w:hAnsi="宋体"/>
                <w:szCs w:val="21"/>
              </w:rPr>
            </w:pPr>
            <w:r>
              <w:rPr>
                <w:rFonts w:hint="eastAsia" w:ascii="宋体" w:hAnsi="宋体"/>
                <w:szCs w:val="21"/>
                <w:lang w:val="en-US" w:eastAsia="zh-CN"/>
              </w:rPr>
              <w:t>d.</w:t>
            </w:r>
            <w:r>
              <w:rPr>
                <w:rFonts w:hint="eastAsia" w:ascii="宋体" w:hAnsi="宋体"/>
                <w:szCs w:val="21"/>
              </w:rPr>
              <w:t>铭牌图：包括主要额定数据、合同编号、重量等；</w:t>
            </w:r>
          </w:p>
        </w:tc>
        <w:tc>
          <w:tcPr>
            <w:tcW w:w="1384" w:type="dxa"/>
            <w:vMerge w:val="restart"/>
            <w:tcBorders>
              <w:top w:val="nil"/>
            </w:tcBorders>
            <w:noWrap w:val="0"/>
            <w:vAlign w:val="center"/>
          </w:tcPr>
          <w:p w14:paraId="659DF7A1">
            <w:pPr>
              <w:spacing w:line="360" w:lineRule="auto"/>
              <w:jc w:val="center"/>
              <w:rPr>
                <w:rFonts w:hint="eastAsia" w:ascii="宋体" w:hAnsi="宋体"/>
                <w:szCs w:val="21"/>
              </w:rPr>
            </w:pPr>
            <w:r>
              <w:rPr>
                <w:rFonts w:hint="eastAsia" w:ascii="宋体" w:hAnsi="宋体"/>
                <w:szCs w:val="21"/>
              </w:rPr>
              <w:t>合同生效后</w:t>
            </w:r>
          </w:p>
          <w:p w14:paraId="18A9E569">
            <w:pPr>
              <w:spacing w:line="360" w:lineRule="auto"/>
              <w:jc w:val="center"/>
              <w:rPr>
                <w:rFonts w:hint="eastAsia" w:ascii="宋体" w:hAnsi="宋体"/>
                <w:szCs w:val="21"/>
              </w:rPr>
            </w:pPr>
          </w:p>
          <w:p w14:paraId="0FFB4239">
            <w:pPr>
              <w:spacing w:line="360" w:lineRule="auto"/>
              <w:jc w:val="center"/>
              <w:rPr>
                <w:rFonts w:ascii="宋体" w:hAnsi="宋体"/>
                <w:szCs w:val="21"/>
              </w:rPr>
            </w:pPr>
            <w:r>
              <w:rPr>
                <w:rFonts w:hint="eastAsia" w:ascii="宋体" w:hAnsi="宋体"/>
                <w:szCs w:val="21"/>
              </w:rPr>
              <w:t>15日内</w:t>
            </w:r>
          </w:p>
        </w:tc>
      </w:tr>
      <w:tr w14:paraId="21486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6" w:type="dxa"/>
            <w:bottom w:w="0" w:type="dxa"/>
            <w:right w:w="36" w:type="dxa"/>
          </w:tblCellMar>
        </w:tblPrEx>
        <w:trPr>
          <w:cantSplit/>
          <w:jc w:val="center"/>
        </w:trPr>
        <w:tc>
          <w:tcPr>
            <w:tcW w:w="726" w:type="dxa"/>
            <w:noWrap w:val="0"/>
            <w:vAlign w:val="center"/>
          </w:tcPr>
          <w:p w14:paraId="308F48CA">
            <w:pPr>
              <w:spacing w:line="360" w:lineRule="auto"/>
              <w:jc w:val="center"/>
              <w:rPr>
                <w:rFonts w:hint="eastAsia" w:ascii="宋体" w:hAnsi="宋体"/>
                <w:szCs w:val="21"/>
              </w:rPr>
            </w:pPr>
            <w:r>
              <w:rPr>
                <w:rFonts w:hint="eastAsia" w:ascii="宋体" w:hAnsi="宋体"/>
                <w:szCs w:val="21"/>
              </w:rPr>
              <w:t>2</w:t>
            </w:r>
          </w:p>
        </w:tc>
        <w:tc>
          <w:tcPr>
            <w:tcW w:w="6806" w:type="dxa"/>
            <w:noWrap w:val="0"/>
            <w:vAlign w:val="top"/>
          </w:tcPr>
          <w:p w14:paraId="7F4190C5">
            <w:pPr>
              <w:spacing w:line="360" w:lineRule="auto"/>
              <w:rPr>
                <w:rFonts w:hint="eastAsia" w:ascii="宋体" w:hAnsi="宋体"/>
                <w:szCs w:val="21"/>
              </w:rPr>
            </w:pPr>
            <w:r>
              <w:rPr>
                <w:rFonts w:hint="eastAsia" w:ascii="宋体" w:hAnsi="宋体"/>
                <w:szCs w:val="21"/>
              </w:rPr>
              <w:t>说明书：</w:t>
            </w:r>
          </w:p>
          <w:p w14:paraId="7EBE10E4">
            <w:pPr>
              <w:spacing w:line="360" w:lineRule="auto"/>
              <w:rPr>
                <w:rFonts w:hint="eastAsia" w:ascii="宋体" w:hAnsi="宋体"/>
                <w:szCs w:val="21"/>
              </w:rPr>
            </w:pPr>
            <w:r>
              <w:rPr>
                <w:rFonts w:hint="eastAsia" w:ascii="宋体" w:hAnsi="宋体"/>
                <w:szCs w:val="21"/>
              </w:rPr>
              <w:t>包括下列内容：</w:t>
            </w:r>
          </w:p>
          <w:p w14:paraId="4786758A">
            <w:pPr>
              <w:numPr>
                <w:ilvl w:val="0"/>
                <w:numId w:val="12"/>
              </w:numPr>
              <w:spacing w:line="360" w:lineRule="auto"/>
              <w:rPr>
                <w:rFonts w:hint="eastAsia" w:ascii="宋体" w:hAnsi="宋体"/>
                <w:szCs w:val="21"/>
              </w:rPr>
            </w:pPr>
            <w:r>
              <w:rPr>
                <w:rFonts w:hint="eastAsia" w:ascii="宋体" w:hAnsi="宋体" w:eastAsia="宋体" w:cs="宋体"/>
                <w:bCs w:val="0"/>
                <w:i w:val="0"/>
                <w:iCs w:val="0"/>
                <w:color w:val="auto"/>
                <w:sz w:val="21"/>
                <w:szCs w:val="21"/>
                <w:highlight w:val="none"/>
                <w:lang w:val="en-US" w:eastAsia="zh-CN" w:bidi="ar-SA"/>
              </w:rPr>
              <w:t>系统设计说明书，</w:t>
            </w:r>
            <w:r>
              <w:rPr>
                <w:rFonts w:hint="eastAsia" w:ascii="宋体" w:hAnsi="宋体"/>
                <w:szCs w:val="21"/>
              </w:rPr>
              <w:t>安装、运行、维护和全部附件的完整说明和数据；</w:t>
            </w:r>
          </w:p>
          <w:p w14:paraId="729ABAE2">
            <w:pPr>
              <w:numPr>
                <w:ilvl w:val="0"/>
                <w:numId w:val="12"/>
              </w:numPr>
              <w:spacing w:line="360" w:lineRule="auto"/>
              <w:rPr>
                <w:rFonts w:hint="eastAsia" w:ascii="宋体" w:hAnsi="宋体"/>
                <w:szCs w:val="21"/>
              </w:rPr>
            </w:pPr>
            <w:r>
              <w:rPr>
                <w:rFonts w:hint="eastAsia" w:ascii="宋体" w:hAnsi="宋体"/>
                <w:szCs w:val="21"/>
              </w:rPr>
              <w:t>额定值和特性资料；</w:t>
            </w:r>
          </w:p>
          <w:p w14:paraId="3D60B4F0">
            <w:pPr>
              <w:numPr>
                <w:ilvl w:val="0"/>
                <w:numId w:val="12"/>
              </w:numPr>
              <w:spacing w:line="360" w:lineRule="auto"/>
              <w:rPr>
                <w:rFonts w:hint="eastAsia" w:ascii="宋体" w:hAnsi="宋体"/>
                <w:szCs w:val="21"/>
              </w:rPr>
            </w:pPr>
            <w:r>
              <w:rPr>
                <w:rFonts w:hint="eastAsia" w:ascii="宋体" w:hAnsi="宋体"/>
                <w:szCs w:val="21"/>
              </w:rPr>
              <w:t>所有附件的全部部件序号的完整资料；</w:t>
            </w:r>
          </w:p>
          <w:p w14:paraId="16BF61BA">
            <w:pPr>
              <w:numPr>
                <w:ilvl w:val="0"/>
                <w:numId w:val="12"/>
              </w:numPr>
              <w:spacing w:line="360" w:lineRule="auto"/>
              <w:rPr>
                <w:rFonts w:hint="eastAsia" w:ascii="宋体" w:hAnsi="宋体"/>
                <w:szCs w:val="21"/>
              </w:rPr>
            </w:pPr>
            <w:r>
              <w:rPr>
                <w:rFonts w:hint="eastAsia" w:ascii="宋体" w:hAnsi="宋体"/>
                <w:szCs w:val="21"/>
              </w:rPr>
              <w:t>例行试验数据；</w:t>
            </w:r>
          </w:p>
          <w:p w14:paraId="314F1AE3">
            <w:pPr>
              <w:numPr>
                <w:ilvl w:val="0"/>
                <w:numId w:val="12"/>
              </w:numPr>
              <w:spacing w:line="360" w:lineRule="auto"/>
              <w:rPr>
                <w:rFonts w:hint="eastAsia" w:ascii="宋体" w:hAnsi="宋体"/>
                <w:szCs w:val="21"/>
              </w:rPr>
            </w:pPr>
            <w:r>
              <w:rPr>
                <w:rFonts w:hint="eastAsia" w:ascii="宋体" w:hAnsi="宋体"/>
                <w:szCs w:val="21"/>
              </w:rPr>
              <w:t>表示设备的结构图以及对基础的技术要求；</w:t>
            </w:r>
          </w:p>
          <w:p w14:paraId="3978DAF5">
            <w:pPr>
              <w:numPr>
                <w:ilvl w:val="0"/>
                <w:numId w:val="12"/>
              </w:numPr>
              <w:spacing w:line="360" w:lineRule="auto"/>
              <w:rPr>
                <w:rFonts w:hint="eastAsia" w:ascii="宋体" w:hAnsi="宋体"/>
                <w:szCs w:val="21"/>
              </w:rPr>
            </w:pPr>
            <w:r>
              <w:rPr>
                <w:rFonts w:hint="eastAsia" w:ascii="宋体" w:hAnsi="宋体"/>
                <w:szCs w:val="21"/>
              </w:rPr>
              <w:t>机柜自带风扇风量、风压、排风系统至室外后余压；</w:t>
            </w:r>
          </w:p>
          <w:p w14:paraId="32F352FD">
            <w:pPr>
              <w:numPr>
                <w:ilvl w:val="0"/>
                <w:numId w:val="12"/>
              </w:numPr>
              <w:spacing w:line="360" w:lineRule="auto"/>
              <w:rPr>
                <w:rFonts w:hint="eastAsia" w:ascii="宋体" w:hAnsi="宋体"/>
                <w:szCs w:val="21"/>
              </w:rPr>
            </w:pPr>
            <w:r>
              <w:rPr>
                <w:rFonts w:hint="eastAsia" w:ascii="宋体" w:hAnsi="宋体"/>
                <w:szCs w:val="21"/>
              </w:rPr>
              <w:t>其它适用的资料和说明。</w:t>
            </w:r>
          </w:p>
        </w:tc>
        <w:tc>
          <w:tcPr>
            <w:tcW w:w="1384" w:type="dxa"/>
            <w:vMerge w:val="continue"/>
            <w:noWrap w:val="0"/>
            <w:vAlign w:val="center"/>
          </w:tcPr>
          <w:p w14:paraId="30329B64">
            <w:pPr>
              <w:spacing w:line="360" w:lineRule="auto"/>
              <w:jc w:val="center"/>
              <w:rPr>
                <w:rFonts w:hint="eastAsia" w:ascii="宋体" w:hAnsi="宋体"/>
                <w:color w:val="000000"/>
                <w:szCs w:val="21"/>
              </w:rPr>
            </w:pPr>
          </w:p>
        </w:tc>
      </w:tr>
      <w:tr w14:paraId="17529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6" w:type="dxa"/>
            <w:bottom w:w="0" w:type="dxa"/>
            <w:right w:w="36" w:type="dxa"/>
          </w:tblCellMar>
        </w:tblPrEx>
        <w:trPr>
          <w:jc w:val="center"/>
        </w:trPr>
        <w:tc>
          <w:tcPr>
            <w:tcW w:w="726" w:type="dxa"/>
            <w:noWrap w:val="0"/>
            <w:vAlign w:val="center"/>
          </w:tcPr>
          <w:p w14:paraId="7714670B">
            <w:pPr>
              <w:spacing w:line="360" w:lineRule="auto"/>
              <w:jc w:val="center"/>
              <w:rPr>
                <w:rFonts w:hint="eastAsia" w:ascii="宋体" w:hAnsi="宋体"/>
                <w:color w:val="000000"/>
                <w:szCs w:val="21"/>
              </w:rPr>
            </w:pPr>
            <w:r>
              <w:rPr>
                <w:rFonts w:hint="eastAsia" w:ascii="宋体" w:hAnsi="宋体"/>
                <w:color w:val="000000"/>
                <w:szCs w:val="21"/>
              </w:rPr>
              <w:t>3</w:t>
            </w:r>
          </w:p>
        </w:tc>
        <w:tc>
          <w:tcPr>
            <w:tcW w:w="6806" w:type="dxa"/>
            <w:noWrap w:val="0"/>
            <w:vAlign w:val="top"/>
          </w:tcPr>
          <w:p w14:paraId="181FF490">
            <w:pPr>
              <w:spacing w:line="360" w:lineRule="auto"/>
              <w:rPr>
                <w:rFonts w:hint="eastAsia" w:ascii="宋体" w:hAnsi="宋体"/>
                <w:color w:val="000000"/>
                <w:szCs w:val="21"/>
              </w:rPr>
            </w:pPr>
            <w:r>
              <w:rPr>
                <w:rFonts w:hint="eastAsia" w:ascii="宋体" w:hAnsi="宋体"/>
                <w:color w:val="000000"/>
                <w:szCs w:val="21"/>
              </w:rPr>
              <w:t>试验报告：</w:t>
            </w:r>
          </w:p>
          <w:p w14:paraId="372AC8A9">
            <w:pPr>
              <w:numPr>
                <w:ilvl w:val="0"/>
                <w:numId w:val="6"/>
              </w:numPr>
              <w:spacing w:line="360" w:lineRule="auto"/>
              <w:rPr>
                <w:rFonts w:hint="eastAsia" w:ascii="宋体" w:hAnsi="宋体"/>
                <w:color w:val="000000"/>
                <w:szCs w:val="21"/>
              </w:rPr>
            </w:pPr>
            <w:r>
              <w:rPr>
                <w:rFonts w:hint="eastAsia" w:ascii="宋体" w:hAnsi="宋体"/>
                <w:color w:val="000000"/>
                <w:szCs w:val="21"/>
              </w:rPr>
              <w:t>型式试验报告(包括主要部件)；</w:t>
            </w:r>
          </w:p>
          <w:p w14:paraId="01B17C0E">
            <w:pPr>
              <w:numPr>
                <w:ilvl w:val="0"/>
                <w:numId w:val="6"/>
              </w:numPr>
              <w:spacing w:line="360" w:lineRule="auto"/>
              <w:rPr>
                <w:rFonts w:ascii="宋体" w:hAnsi="宋体"/>
                <w:color w:val="000000"/>
                <w:szCs w:val="21"/>
              </w:rPr>
            </w:pPr>
            <w:r>
              <w:rPr>
                <w:rFonts w:hint="eastAsia" w:ascii="宋体" w:hAnsi="宋体"/>
                <w:color w:val="000000"/>
                <w:szCs w:val="21"/>
              </w:rPr>
              <w:t>出厂试验报告(包括主要部件)。</w:t>
            </w:r>
          </w:p>
        </w:tc>
        <w:tc>
          <w:tcPr>
            <w:tcW w:w="1384" w:type="dxa"/>
            <w:noWrap w:val="0"/>
            <w:vAlign w:val="center"/>
          </w:tcPr>
          <w:p w14:paraId="45276107">
            <w:pPr>
              <w:spacing w:line="360" w:lineRule="auto"/>
              <w:jc w:val="center"/>
              <w:rPr>
                <w:rFonts w:ascii="宋体" w:hAnsi="宋体"/>
                <w:color w:val="000000"/>
                <w:szCs w:val="21"/>
              </w:rPr>
            </w:pPr>
            <w:r>
              <w:rPr>
                <w:rFonts w:hint="eastAsia" w:ascii="宋体" w:hAnsi="宋体"/>
                <w:color w:val="000000"/>
                <w:szCs w:val="21"/>
              </w:rPr>
              <w:t>发货前1周内</w:t>
            </w:r>
          </w:p>
        </w:tc>
      </w:tr>
    </w:tbl>
    <w:p w14:paraId="7D396BF3">
      <w:pPr>
        <w:pStyle w:val="31"/>
        <w:spacing w:line="360" w:lineRule="auto"/>
        <w:outlineLvl w:val="0"/>
        <w:rPr>
          <w:rFonts w:hint="eastAsia" w:ascii="Times New Roman" w:hAnsi="Times New Roman"/>
          <w:szCs w:val="21"/>
        </w:rPr>
      </w:pPr>
      <w:bookmarkStart w:id="40" w:name="_Hlt99443316"/>
      <w:bookmarkEnd w:id="40"/>
      <w:bookmarkStart w:id="41" w:name="_Toc264037163"/>
      <w:bookmarkStart w:id="42" w:name="_Toc99419740"/>
      <w:bookmarkStart w:id="43" w:name="_Toc38284742"/>
      <w:bookmarkStart w:id="44" w:name="_Toc32997703"/>
      <w:bookmarkStart w:id="45" w:name="_Hlt99443159"/>
      <w:r>
        <w:rPr>
          <w:rFonts w:hint="eastAsia" w:ascii="Times New Roman" w:hAnsi="Times New Roman"/>
          <w:szCs w:val="21"/>
        </w:rPr>
        <w:t>2.2  设备监造检查所需要的技术资料</w:t>
      </w:r>
      <w:bookmarkEnd w:id="41"/>
    </w:p>
    <w:p w14:paraId="73A5A2B7">
      <w:pPr>
        <w:pStyle w:val="31"/>
        <w:spacing w:line="360" w:lineRule="auto"/>
        <w:rPr>
          <w:rFonts w:hint="eastAsia" w:ascii="Times New Roman" w:hAnsi="Times New Roman"/>
          <w:szCs w:val="21"/>
        </w:rPr>
      </w:pPr>
      <w:r>
        <w:rPr>
          <w:rFonts w:hint="eastAsia" w:ascii="Times New Roman" w:hAnsi="Times New Roman"/>
          <w:szCs w:val="21"/>
        </w:rPr>
        <w:t>投标人应提供满足合同设备监造检查/见证所需要的全部技术资料。</w:t>
      </w:r>
    </w:p>
    <w:p w14:paraId="69967732">
      <w:pPr>
        <w:pStyle w:val="31"/>
        <w:spacing w:line="360" w:lineRule="auto"/>
        <w:outlineLvl w:val="0"/>
        <w:rPr>
          <w:rFonts w:hint="eastAsia" w:ascii="Times New Roman" w:hAnsi="Times New Roman"/>
          <w:szCs w:val="21"/>
        </w:rPr>
      </w:pPr>
      <w:bookmarkStart w:id="46" w:name="_Toc264037164"/>
      <w:r>
        <w:rPr>
          <w:rFonts w:hint="eastAsia" w:ascii="Times New Roman" w:hAnsi="Times New Roman"/>
          <w:szCs w:val="21"/>
        </w:rPr>
        <w:t>2.3  施工、调试、试运、机组性能试验和运行维护所需的技术资料（招标人提供具体清单和要求，投标人细化，招标人确认）。包括但不限于：</w:t>
      </w:r>
      <w:bookmarkEnd w:id="46"/>
    </w:p>
    <w:p w14:paraId="7819F4AF">
      <w:pPr>
        <w:pStyle w:val="31"/>
        <w:spacing w:line="360" w:lineRule="auto"/>
        <w:rPr>
          <w:rFonts w:hint="eastAsia" w:ascii="Times New Roman" w:hAnsi="Times New Roman"/>
          <w:szCs w:val="21"/>
        </w:rPr>
      </w:pPr>
      <w:r>
        <w:rPr>
          <w:rFonts w:hint="eastAsia" w:ascii="Times New Roman" w:hAnsi="Times New Roman"/>
          <w:szCs w:val="21"/>
        </w:rPr>
        <w:t>2.3</w:t>
      </w:r>
      <w:r>
        <w:rPr>
          <w:rFonts w:ascii="Times New Roman" w:hAnsi="Times New Roman"/>
          <w:szCs w:val="21"/>
        </w:rPr>
        <w:t>.1</w:t>
      </w:r>
      <w:r>
        <w:rPr>
          <w:rFonts w:hint="eastAsia" w:ascii="Times New Roman" w:hAnsi="Times New Roman"/>
          <w:szCs w:val="21"/>
        </w:rPr>
        <w:t xml:space="preserve">  提供设备安装、运行、调试和试运说明书，以及组装、拆卸时所需用的技术资料。</w:t>
      </w:r>
    </w:p>
    <w:p w14:paraId="0C31B3DB">
      <w:pPr>
        <w:pStyle w:val="31"/>
        <w:spacing w:line="360" w:lineRule="auto"/>
        <w:rPr>
          <w:rFonts w:hint="eastAsia" w:ascii="Times New Roman" w:hAnsi="Times New Roman"/>
          <w:szCs w:val="21"/>
        </w:rPr>
      </w:pPr>
      <w:r>
        <w:rPr>
          <w:rFonts w:hint="eastAsia" w:ascii="Times New Roman" w:hAnsi="Times New Roman"/>
          <w:szCs w:val="21"/>
        </w:rPr>
        <w:t>2.3.2  安装、运行、调试、维护、检修所需的详尽图纸和技术资料（包括设备总图、部件总图、分图和必要的零件图、计算资料等）。</w:t>
      </w:r>
    </w:p>
    <w:p w14:paraId="116A460E">
      <w:pPr>
        <w:pStyle w:val="31"/>
        <w:spacing w:line="360" w:lineRule="auto"/>
        <w:rPr>
          <w:rFonts w:hint="eastAsia" w:ascii="Times New Roman" w:hAnsi="Times New Roman"/>
          <w:szCs w:val="21"/>
        </w:rPr>
      </w:pPr>
      <w:r>
        <w:rPr>
          <w:rFonts w:hint="eastAsia" w:ascii="Times New Roman" w:hAnsi="Times New Roman"/>
          <w:szCs w:val="21"/>
        </w:rPr>
        <w:t>2.3.3  设备安装、运行、调试、维护、检修说明书（包括设备结构特点、安装程序和工艺要求、启动调试要领、运行操作规定和控制数据、定期校验和维护说明等）。</w:t>
      </w:r>
    </w:p>
    <w:p w14:paraId="467B889D">
      <w:pPr>
        <w:pStyle w:val="31"/>
        <w:spacing w:line="360" w:lineRule="auto"/>
        <w:rPr>
          <w:rFonts w:hint="eastAsia" w:ascii="Times New Roman" w:hAnsi="Times New Roman"/>
          <w:szCs w:val="21"/>
        </w:rPr>
      </w:pPr>
      <w:r>
        <w:rPr>
          <w:rFonts w:hint="eastAsia" w:ascii="Times New Roman" w:hAnsi="Times New Roman"/>
          <w:szCs w:val="21"/>
        </w:rPr>
        <w:t xml:space="preserve">2.3.4 </w:t>
      </w:r>
      <w:r>
        <w:rPr>
          <w:rFonts w:hint="eastAsia" w:ascii="Times New Roman" w:hAnsi="Times New Roman"/>
          <w:szCs w:val="21"/>
        </w:rPr>
        <w:tab/>
      </w:r>
      <w:r>
        <w:rPr>
          <w:rFonts w:hint="eastAsia" w:ascii="Times New Roman" w:hAnsi="Times New Roman"/>
          <w:szCs w:val="21"/>
        </w:rPr>
        <w:t>投标人应提供备品配件清单和易损零件图。</w:t>
      </w:r>
    </w:p>
    <w:p w14:paraId="7869A4CE">
      <w:pPr>
        <w:pStyle w:val="31"/>
        <w:spacing w:line="360" w:lineRule="auto"/>
        <w:outlineLvl w:val="0"/>
        <w:rPr>
          <w:rFonts w:hint="eastAsia" w:ascii="Times New Roman" w:hAnsi="Times New Roman"/>
          <w:szCs w:val="21"/>
        </w:rPr>
      </w:pPr>
      <w:bookmarkStart w:id="47" w:name="_Toc264037165"/>
      <w:r>
        <w:rPr>
          <w:rFonts w:hint="eastAsia" w:ascii="Times New Roman" w:hAnsi="Times New Roman"/>
          <w:szCs w:val="21"/>
        </w:rPr>
        <w:t>2.4  投标人须提供的其它技术资料</w:t>
      </w:r>
      <w:r>
        <w:rPr>
          <w:rFonts w:ascii="Times New Roman" w:hAnsi="Times New Roman"/>
          <w:szCs w:val="21"/>
        </w:rPr>
        <w:t>(</w:t>
      </w:r>
      <w:r>
        <w:rPr>
          <w:rFonts w:hint="eastAsia" w:ascii="Times New Roman" w:hAnsi="Times New Roman"/>
          <w:szCs w:val="21"/>
        </w:rPr>
        <w:t>招标人提供具体清单和要求，投标人细化，招标人确认）。包括但不限于：</w:t>
      </w:r>
      <w:bookmarkEnd w:id="47"/>
    </w:p>
    <w:p w14:paraId="6A83EA1E">
      <w:pPr>
        <w:pStyle w:val="31"/>
        <w:spacing w:line="360" w:lineRule="auto"/>
        <w:rPr>
          <w:rFonts w:hint="eastAsia" w:ascii="Times New Roman" w:hAnsi="Times New Roman"/>
          <w:szCs w:val="21"/>
        </w:rPr>
      </w:pPr>
      <w:r>
        <w:rPr>
          <w:rFonts w:hint="eastAsia" w:ascii="Times New Roman" w:hAnsi="Times New Roman"/>
          <w:szCs w:val="21"/>
        </w:rPr>
        <w:t>2.4.1</w:t>
      </w:r>
      <w:r>
        <w:rPr>
          <w:rFonts w:hint="eastAsia" w:ascii="Times New Roman" w:hAnsi="Times New Roman"/>
          <w:szCs w:val="21"/>
        </w:rPr>
        <w:tab/>
      </w:r>
      <w:r>
        <w:rPr>
          <w:rFonts w:hint="eastAsia" w:ascii="Times New Roman" w:hAnsi="Times New Roman"/>
          <w:szCs w:val="21"/>
        </w:rPr>
        <w:t>检查记录、试验报告及质量合格证等出厂报告。</w:t>
      </w:r>
    </w:p>
    <w:p w14:paraId="7D3D191B">
      <w:pPr>
        <w:pStyle w:val="31"/>
        <w:spacing w:line="360" w:lineRule="auto"/>
        <w:rPr>
          <w:rFonts w:hint="eastAsia" w:ascii="Times New Roman" w:hAnsi="Times New Roman"/>
          <w:szCs w:val="21"/>
        </w:rPr>
      </w:pPr>
      <w:r>
        <w:rPr>
          <w:rFonts w:hint="eastAsia" w:ascii="Times New Roman" w:hAnsi="Times New Roman"/>
          <w:szCs w:val="21"/>
        </w:rPr>
        <w:t>2.4.2</w:t>
      </w:r>
      <w:r>
        <w:rPr>
          <w:rFonts w:hint="eastAsia" w:ascii="Times New Roman" w:hAnsi="Times New Roman"/>
          <w:szCs w:val="21"/>
        </w:rPr>
        <w:tab/>
      </w:r>
      <w:r>
        <w:rPr>
          <w:rFonts w:hint="eastAsia" w:ascii="Times New Roman" w:hAnsi="Times New Roman"/>
          <w:szCs w:val="21"/>
        </w:rPr>
        <w:t>投标人提供在设计、制造时所遵循的规范、标准和规定清单。</w:t>
      </w:r>
    </w:p>
    <w:p w14:paraId="445E8E03">
      <w:pPr>
        <w:pStyle w:val="31"/>
        <w:spacing w:line="360" w:lineRule="auto"/>
        <w:rPr>
          <w:rFonts w:hint="eastAsia" w:ascii="Times New Roman" w:hAnsi="Times New Roman"/>
          <w:szCs w:val="21"/>
        </w:rPr>
      </w:pPr>
      <w:r>
        <w:rPr>
          <w:rFonts w:hint="eastAsia" w:ascii="Times New Roman" w:hAnsi="Times New Roman"/>
          <w:szCs w:val="21"/>
        </w:rPr>
        <w:t>2.4.3</w:t>
      </w:r>
      <w:r>
        <w:rPr>
          <w:rFonts w:hint="eastAsia" w:ascii="Times New Roman" w:hAnsi="Times New Roman"/>
          <w:szCs w:val="21"/>
        </w:rPr>
        <w:tab/>
      </w:r>
      <w:r>
        <w:rPr>
          <w:rFonts w:hint="eastAsia" w:ascii="Times New Roman" w:hAnsi="Times New Roman"/>
          <w:szCs w:val="21"/>
        </w:rPr>
        <w:t>设备和备品管理资料文件（包括设备和备品发运和装箱的详细资料，设备和备品存放与保管技术要求）。</w:t>
      </w:r>
    </w:p>
    <w:p w14:paraId="54F42E47">
      <w:pPr>
        <w:pStyle w:val="31"/>
        <w:spacing w:line="360" w:lineRule="auto"/>
        <w:rPr>
          <w:rFonts w:hint="eastAsia" w:ascii="Times New Roman" w:hAnsi="Times New Roman"/>
          <w:szCs w:val="21"/>
        </w:rPr>
      </w:pPr>
      <w:r>
        <w:rPr>
          <w:rFonts w:hint="eastAsia"/>
          <w:szCs w:val="21"/>
        </w:rPr>
        <w:t>2.4.4</w:t>
      </w:r>
      <w:r>
        <w:rPr>
          <w:rFonts w:hint="eastAsia"/>
          <w:szCs w:val="21"/>
        </w:rPr>
        <w:tab/>
      </w:r>
      <w:r>
        <w:rPr>
          <w:rFonts w:hint="eastAsia"/>
          <w:szCs w:val="21"/>
        </w:rPr>
        <w:t>详细的产品质量文件，包括材质、材质检验、加工质量、外形尺寸和性能试验等的证明。</w:t>
      </w:r>
    </w:p>
    <w:bookmarkEnd w:id="42"/>
    <w:bookmarkEnd w:id="43"/>
    <w:bookmarkEnd w:id="44"/>
    <w:bookmarkEnd w:id="45"/>
    <w:p w14:paraId="6ECDB108">
      <w:pPr>
        <w:spacing w:line="360" w:lineRule="auto"/>
        <w:rPr>
          <w:rFonts w:hint="eastAsia"/>
          <w:b/>
          <w:bCs/>
          <w:szCs w:val="21"/>
        </w:rPr>
      </w:pPr>
      <w:bookmarkStart w:id="48" w:name="_Toc502370877"/>
      <w:bookmarkStart w:id="49" w:name="_Toc35655818"/>
      <w:bookmarkStart w:id="50" w:name="_Hlt513224749"/>
      <w:bookmarkStart w:id="51" w:name="_Toc99419741"/>
      <w:bookmarkStart w:id="52" w:name="_Hlt99443166"/>
      <w:r>
        <w:rPr>
          <w:b/>
          <w:bCs/>
          <w:szCs w:val="21"/>
        </w:rPr>
        <w:br w:type="page"/>
      </w:r>
      <w:r>
        <w:rPr>
          <w:rFonts w:hint="eastAsia"/>
          <w:b/>
          <w:bCs/>
          <w:szCs w:val="21"/>
        </w:rPr>
        <w:t>附件4  交货进度</w:t>
      </w:r>
    </w:p>
    <w:p w14:paraId="7A7CAC66">
      <w:pPr>
        <w:pStyle w:val="31"/>
        <w:spacing w:line="360" w:lineRule="auto"/>
        <w:rPr>
          <w:rFonts w:hint="eastAsia" w:ascii="Times New Roman" w:hAnsi="Times New Roman"/>
          <w:szCs w:val="21"/>
        </w:rPr>
      </w:pPr>
      <w:r>
        <w:rPr>
          <w:rFonts w:hint="eastAsia" w:ascii="Times New Roman" w:hAnsi="Times New Roman"/>
          <w:szCs w:val="21"/>
        </w:rPr>
        <w:t>高压变频装置的交货顺序要满足工程安装进度的要求</w:t>
      </w:r>
      <w:r>
        <w:rPr>
          <w:rFonts w:hint="eastAsia"/>
        </w:rPr>
        <w:t>,具体时间见商务</w:t>
      </w:r>
      <w:r>
        <w:rPr>
          <w:rFonts w:hint="eastAsia" w:ascii="Times New Roman" w:hAnsi="Times New Roman"/>
          <w:szCs w:val="21"/>
        </w:rPr>
        <w:t>。</w:t>
      </w:r>
    </w:p>
    <w:p w14:paraId="6E5241C0">
      <w:pPr>
        <w:pStyle w:val="31"/>
        <w:spacing w:line="360" w:lineRule="auto"/>
        <w:rPr>
          <w:rFonts w:hint="eastAsia" w:ascii="Times New Roman" w:hAnsi="Times New Roman"/>
          <w:szCs w:val="21"/>
        </w:rPr>
      </w:pPr>
    </w:p>
    <w:bookmarkEnd w:id="48"/>
    <w:bookmarkEnd w:id="49"/>
    <w:bookmarkEnd w:id="50"/>
    <w:bookmarkEnd w:id="51"/>
    <w:bookmarkEnd w:id="52"/>
    <w:p w14:paraId="1DDA211A">
      <w:pPr>
        <w:spacing w:line="360" w:lineRule="auto"/>
        <w:rPr>
          <w:rFonts w:hint="eastAsia"/>
          <w:b/>
          <w:bCs/>
          <w:szCs w:val="21"/>
        </w:rPr>
      </w:pPr>
      <w:bookmarkStart w:id="53" w:name="_Hlt99443194"/>
      <w:r>
        <w:rPr>
          <w:rFonts w:hint="eastAsia"/>
          <w:b/>
          <w:bCs/>
        </w:rPr>
        <w:t>附件5  设备监造、检验和性能验收试验</w:t>
      </w:r>
    </w:p>
    <w:p w14:paraId="174A25F0">
      <w:pPr>
        <w:pStyle w:val="31"/>
        <w:spacing w:line="360" w:lineRule="auto"/>
        <w:outlineLvl w:val="0"/>
        <w:rPr>
          <w:rFonts w:ascii="Times New Roman" w:hAnsi="Times New Roman"/>
          <w:szCs w:val="21"/>
        </w:rPr>
      </w:pPr>
      <w:bookmarkStart w:id="54" w:name="_Toc264037166"/>
      <w:r>
        <w:rPr>
          <w:rFonts w:ascii="Times New Roman" w:hAnsi="Times New Roman"/>
          <w:szCs w:val="21"/>
        </w:rPr>
        <w:t>1</w:t>
      </w:r>
      <w:r>
        <w:rPr>
          <w:rFonts w:hint="eastAsia" w:ascii="Times New Roman" w:hAnsi="Times New Roman"/>
          <w:szCs w:val="21"/>
        </w:rPr>
        <w:tab/>
      </w:r>
      <w:r>
        <w:rPr>
          <w:rFonts w:hint="eastAsia" w:ascii="Times New Roman" w:hAnsi="Times New Roman"/>
          <w:szCs w:val="21"/>
        </w:rPr>
        <w:t>概述</w:t>
      </w:r>
      <w:bookmarkEnd w:id="54"/>
    </w:p>
    <w:p w14:paraId="17C94F59">
      <w:pPr>
        <w:pStyle w:val="31"/>
        <w:spacing w:line="360" w:lineRule="auto"/>
        <w:rPr>
          <w:rFonts w:ascii="Times New Roman" w:hAnsi="Times New Roman"/>
          <w:szCs w:val="21"/>
        </w:rPr>
      </w:pPr>
      <w:r>
        <w:rPr>
          <w:rFonts w:ascii="Times New Roman" w:hAnsi="Times New Roman"/>
          <w:szCs w:val="21"/>
        </w:rPr>
        <w:t>1.1</w:t>
      </w:r>
      <w:r>
        <w:rPr>
          <w:rFonts w:hint="eastAsia" w:ascii="Times New Roman" w:hAnsi="Times New Roman"/>
          <w:szCs w:val="21"/>
        </w:rPr>
        <w:tab/>
      </w:r>
      <w:r>
        <w:rPr>
          <w:rFonts w:hint="eastAsia" w:ascii="Times New Roman" w:hAnsi="Times New Roman"/>
          <w:szCs w:val="21"/>
        </w:rPr>
        <w:t>本附件用于招标人合同执行期间对投标人所提供的设备(包括对分包外购设备)进行检验、监造和性能验收试验，确保投标人所提供的设备符合附件1规定的要求。</w:t>
      </w:r>
    </w:p>
    <w:p w14:paraId="353046F7">
      <w:pPr>
        <w:pStyle w:val="31"/>
        <w:spacing w:line="360" w:lineRule="auto"/>
        <w:rPr>
          <w:rFonts w:hint="eastAsia" w:ascii="Times New Roman" w:hAnsi="Times New Roman"/>
          <w:szCs w:val="21"/>
        </w:rPr>
      </w:pPr>
      <w:r>
        <w:rPr>
          <w:rFonts w:hint="eastAsia" w:ascii="Times New Roman" w:hAnsi="Times New Roman"/>
          <w:szCs w:val="21"/>
        </w:rPr>
        <w:t>1.2</w:t>
      </w:r>
      <w:r>
        <w:rPr>
          <w:rFonts w:hint="eastAsia" w:ascii="Times New Roman" w:hAnsi="Times New Roman"/>
          <w:szCs w:val="21"/>
        </w:rPr>
        <w:tab/>
      </w:r>
      <w:r>
        <w:rPr>
          <w:rFonts w:hint="eastAsia" w:ascii="Times New Roman" w:hAnsi="Times New Roman"/>
          <w:color w:val="auto"/>
          <w:szCs w:val="21"/>
        </w:rPr>
        <w:t>投标人应在本合同生效后</w:t>
      </w:r>
      <w:r>
        <w:rPr>
          <w:rFonts w:hint="eastAsia" w:ascii="Times New Roman" w:hAnsi="Times New Roman"/>
          <w:color w:val="auto"/>
          <w:szCs w:val="21"/>
          <w:lang w:val="en-US" w:eastAsia="zh-CN"/>
        </w:rPr>
        <w:t>10日</w:t>
      </w:r>
      <w:r>
        <w:rPr>
          <w:rFonts w:hint="eastAsia" w:ascii="Times New Roman" w:hAnsi="Times New Roman"/>
          <w:color w:val="auto"/>
          <w:szCs w:val="21"/>
        </w:rPr>
        <w:t>内，</w:t>
      </w:r>
      <w:r>
        <w:rPr>
          <w:rFonts w:hint="eastAsia" w:ascii="Times New Roman" w:hAnsi="Times New Roman"/>
          <w:szCs w:val="21"/>
        </w:rPr>
        <w:t>向招标人提供与本合同设备有关的监造、检验、性能验收试验标准。有关标准应符合附件1的规定。</w:t>
      </w:r>
    </w:p>
    <w:p w14:paraId="36BB1198">
      <w:pPr>
        <w:pStyle w:val="31"/>
        <w:spacing w:line="360" w:lineRule="auto"/>
        <w:outlineLvl w:val="0"/>
        <w:rPr>
          <w:rFonts w:ascii="Times New Roman" w:hAnsi="Times New Roman"/>
          <w:szCs w:val="21"/>
        </w:rPr>
      </w:pPr>
      <w:bookmarkStart w:id="55" w:name="_Toc264037167"/>
      <w:r>
        <w:rPr>
          <w:rFonts w:hint="eastAsia" w:ascii="Times New Roman" w:hAnsi="Times New Roman"/>
          <w:szCs w:val="21"/>
        </w:rPr>
        <w:t>2</w:t>
      </w:r>
      <w:r>
        <w:rPr>
          <w:rFonts w:hint="eastAsia" w:ascii="Times New Roman" w:hAnsi="Times New Roman"/>
          <w:szCs w:val="21"/>
        </w:rPr>
        <w:tab/>
      </w:r>
      <w:r>
        <w:rPr>
          <w:rFonts w:hint="eastAsia" w:ascii="Times New Roman" w:hAnsi="Times New Roman"/>
          <w:szCs w:val="21"/>
        </w:rPr>
        <w:t>工厂试验</w:t>
      </w:r>
      <w:bookmarkEnd w:id="55"/>
    </w:p>
    <w:p w14:paraId="1719004A">
      <w:pPr>
        <w:pStyle w:val="31"/>
        <w:spacing w:line="360" w:lineRule="auto"/>
        <w:rPr>
          <w:rFonts w:ascii="Times New Roman" w:hAnsi="Times New Roman"/>
          <w:szCs w:val="21"/>
        </w:rPr>
      </w:pPr>
      <w:r>
        <w:rPr>
          <w:rFonts w:hint="eastAsia" w:ascii="Times New Roman" w:hAnsi="Times New Roman"/>
          <w:szCs w:val="21"/>
        </w:rPr>
        <w:t>2.1</w:t>
      </w:r>
      <w:r>
        <w:rPr>
          <w:rFonts w:hint="eastAsia" w:ascii="Times New Roman" w:hAnsi="Times New Roman"/>
          <w:szCs w:val="21"/>
        </w:rPr>
        <w:tab/>
      </w:r>
      <w:r>
        <w:rPr>
          <w:rFonts w:hint="eastAsia" w:ascii="Times New Roman" w:hAnsi="Times New Roman"/>
          <w:szCs w:val="21"/>
        </w:rPr>
        <w:t>工厂试验是质量控制的一个重要组成部分。投标人须严格进行厂内各生产环节的检验和试验。投标人提供的合同设备须签发质量证明、检验记录和测试报告。并且作为交货时质量证明文件的组成部分。</w:t>
      </w:r>
    </w:p>
    <w:p w14:paraId="52A7E8E4">
      <w:pPr>
        <w:pStyle w:val="31"/>
        <w:spacing w:line="360" w:lineRule="auto"/>
        <w:rPr>
          <w:rFonts w:ascii="Times New Roman" w:hAnsi="Times New Roman"/>
          <w:szCs w:val="21"/>
        </w:rPr>
      </w:pPr>
      <w:r>
        <w:rPr>
          <w:rFonts w:hint="eastAsia" w:ascii="Times New Roman" w:hAnsi="Times New Roman"/>
          <w:szCs w:val="21"/>
        </w:rPr>
        <w:t>2.2</w:t>
      </w:r>
      <w:r>
        <w:rPr>
          <w:rFonts w:hint="eastAsia" w:ascii="Times New Roman" w:hAnsi="Times New Roman"/>
          <w:szCs w:val="21"/>
        </w:rPr>
        <w:tab/>
      </w:r>
      <w:r>
        <w:rPr>
          <w:rFonts w:hint="eastAsia" w:ascii="Times New Roman" w:hAnsi="Times New Roman"/>
          <w:szCs w:val="21"/>
        </w:rPr>
        <w:t>检验的范围包括原材料和元器件的进厂，部件的加工、组装、试验至出厂试验。</w:t>
      </w:r>
    </w:p>
    <w:p w14:paraId="4606EAFE">
      <w:pPr>
        <w:pStyle w:val="31"/>
        <w:spacing w:line="360" w:lineRule="auto"/>
        <w:rPr>
          <w:rFonts w:hint="eastAsia" w:ascii="Times New Roman" w:hAnsi="Times New Roman"/>
          <w:szCs w:val="21"/>
        </w:rPr>
      </w:pPr>
      <w:r>
        <w:rPr>
          <w:rFonts w:hint="eastAsia" w:ascii="Times New Roman" w:hAnsi="Times New Roman"/>
          <w:szCs w:val="21"/>
        </w:rPr>
        <w:t>2.3</w:t>
      </w:r>
      <w:r>
        <w:rPr>
          <w:rFonts w:hint="eastAsia" w:ascii="Times New Roman" w:hAnsi="Times New Roman"/>
          <w:szCs w:val="21"/>
        </w:rPr>
        <w:tab/>
      </w:r>
      <w:r>
        <w:rPr>
          <w:rFonts w:hint="eastAsia" w:ascii="Times New Roman" w:hAnsi="Times New Roman"/>
          <w:szCs w:val="21"/>
        </w:rPr>
        <w:t>每套</w:t>
      </w:r>
      <w:r>
        <w:rPr>
          <w:rFonts w:hint="eastAsia" w:ascii="Times New Roman" w:hAnsi="Times New Roman"/>
          <w:szCs w:val="21"/>
          <w:lang w:val="en-US" w:eastAsia="zh-CN"/>
        </w:rPr>
        <w:t>变频</w:t>
      </w:r>
      <w:r>
        <w:rPr>
          <w:rFonts w:hint="eastAsia" w:ascii="Times New Roman" w:hAnsi="Times New Roman"/>
          <w:szCs w:val="21"/>
        </w:rPr>
        <w:t>装置要做整套装置的出厂前整体试验，如有费用，单独报价。</w:t>
      </w:r>
    </w:p>
    <w:p w14:paraId="294ECA16">
      <w:pPr>
        <w:pStyle w:val="31"/>
        <w:spacing w:line="360" w:lineRule="auto"/>
        <w:rPr>
          <w:rFonts w:ascii="Times New Roman" w:hAnsi="Times New Roman"/>
          <w:szCs w:val="21"/>
        </w:rPr>
      </w:pPr>
      <w:r>
        <w:rPr>
          <w:rFonts w:ascii="Times New Roman" w:hAnsi="Times New Roman"/>
          <w:szCs w:val="21"/>
        </w:rPr>
        <w:t>2.4</w:t>
      </w:r>
      <w:r>
        <w:rPr>
          <w:rFonts w:hint="eastAsia" w:ascii="Times New Roman" w:hAnsi="Times New Roman"/>
          <w:szCs w:val="21"/>
        </w:rPr>
        <w:tab/>
      </w:r>
      <w:r>
        <w:rPr>
          <w:rFonts w:hint="eastAsia" w:ascii="Times New Roman" w:hAnsi="Times New Roman"/>
          <w:szCs w:val="21"/>
        </w:rPr>
        <w:t>投标人检验的结果要满足附件1技术规范的要求，如有不符之处或达不到标准要求，投标人要采取措施处理直至满足要求，同时向招标人提交不一致性报告。投标人发生重大问题时应将情况及时通知招标人。</w:t>
      </w:r>
    </w:p>
    <w:p w14:paraId="220DCC27">
      <w:pPr>
        <w:pStyle w:val="31"/>
        <w:spacing w:line="360" w:lineRule="auto"/>
        <w:rPr>
          <w:rFonts w:hint="eastAsia" w:ascii="Times New Roman" w:hAnsi="Times New Roman"/>
          <w:szCs w:val="21"/>
        </w:rPr>
      </w:pPr>
      <w:r>
        <w:rPr>
          <w:rFonts w:ascii="Times New Roman" w:hAnsi="Times New Roman"/>
          <w:szCs w:val="21"/>
        </w:rPr>
        <w:t>2.5</w:t>
      </w:r>
      <w:r>
        <w:rPr>
          <w:rFonts w:hint="eastAsia" w:ascii="Times New Roman" w:hAnsi="Times New Roman"/>
          <w:szCs w:val="21"/>
        </w:rPr>
        <w:tab/>
      </w:r>
      <w:r>
        <w:rPr>
          <w:rFonts w:hint="eastAsia" w:ascii="Times New Roman" w:hAnsi="Times New Roman"/>
          <w:szCs w:val="21"/>
        </w:rPr>
        <w:t>工厂检验的所有费用包括在合同总价之中。</w:t>
      </w:r>
    </w:p>
    <w:p w14:paraId="5913CD57">
      <w:pPr>
        <w:pStyle w:val="31"/>
        <w:spacing w:line="360" w:lineRule="auto"/>
        <w:outlineLvl w:val="0"/>
        <w:rPr>
          <w:rFonts w:ascii="Times New Roman" w:hAnsi="Times New Roman"/>
          <w:szCs w:val="21"/>
        </w:rPr>
      </w:pPr>
      <w:bookmarkStart w:id="56" w:name="_Toc264037168"/>
      <w:r>
        <w:rPr>
          <w:rFonts w:hint="eastAsia" w:ascii="Times New Roman" w:hAnsi="Times New Roman"/>
          <w:szCs w:val="21"/>
        </w:rPr>
        <w:t>3</w:t>
      </w:r>
      <w:r>
        <w:rPr>
          <w:rFonts w:hint="eastAsia" w:ascii="Times New Roman" w:hAnsi="Times New Roman"/>
          <w:szCs w:val="21"/>
        </w:rPr>
        <w:tab/>
      </w:r>
      <w:r>
        <w:rPr>
          <w:rFonts w:hint="eastAsia" w:ascii="Times New Roman" w:hAnsi="Times New Roman"/>
          <w:szCs w:val="21"/>
        </w:rPr>
        <w:t>设备监造</w:t>
      </w:r>
      <w:bookmarkEnd w:id="56"/>
    </w:p>
    <w:p w14:paraId="0FBF70C9">
      <w:pPr>
        <w:pStyle w:val="31"/>
        <w:spacing w:line="360" w:lineRule="auto"/>
        <w:rPr>
          <w:rFonts w:hint="eastAsia" w:ascii="Times New Roman" w:hAnsi="Times New Roman"/>
          <w:szCs w:val="21"/>
        </w:rPr>
      </w:pPr>
      <w:r>
        <w:rPr>
          <w:rFonts w:hint="eastAsia" w:ascii="Times New Roman" w:hAnsi="Times New Roman"/>
          <w:szCs w:val="21"/>
        </w:rPr>
        <w:t>3.1</w:t>
      </w:r>
      <w:r>
        <w:rPr>
          <w:rFonts w:hint="eastAsia" w:ascii="Times New Roman" w:hAnsi="Times New Roman"/>
          <w:szCs w:val="21"/>
        </w:rPr>
        <w:tab/>
      </w:r>
      <w:r>
        <w:rPr>
          <w:rFonts w:hint="eastAsia" w:ascii="Times New Roman" w:hAnsi="Times New Roman"/>
          <w:szCs w:val="21"/>
        </w:rPr>
        <w:t>监造依据</w:t>
      </w:r>
    </w:p>
    <w:p w14:paraId="69249AD7">
      <w:pPr>
        <w:pStyle w:val="31"/>
        <w:spacing w:line="360" w:lineRule="auto"/>
        <w:rPr>
          <w:rFonts w:hint="eastAsia" w:ascii="Times New Roman" w:hAnsi="Times New Roman"/>
          <w:szCs w:val="21"/>
        </w:rPr>
      </w:pPr>
      <w:r>
        <w:rPr>
          <w:rFonts w:hint="eastAsia" w:ascii="Times New Roman" w:hAnsi="Times New Roman"/>
          <w:szCs w:val="21"/>
        </w:rPr>
        <w:t>根据本合同和</w:t>
      </w:r>
      <w:r>
        <w:rPr>
          <w:rFonts w:hint="eastAsia" w:ascii="Times New Roman" w:hAnsi="Times New Roman"/>
          <w:color w:val="auto"/>
          <w:szCs w:val="21"/>
          <w:highlight w:val="none"/>
        </w:rPr>
        <w:t>国</w:t>
      </w:r>
      <w:r>
        <w:rPr>
          <w:rFonts w:hint="eastAsia" w:ascii="Times New Roman" w:hAnsi="Times New Roman"/>
          <w:color w:val="auto"/>
          <w:szCs w:val="21"/>
          <w:highlight w:val="none"/>
          <w:lang w:val="en-US" w:eastAsia="zh-CN"/>
        </w:rPr>
        <w:t>标</w:t>
      </w:r>
      <w:r>
        <w:rPr>
          <w:rFonts w:hint="eastAsia"/>
          <w:color w:val="auto"/>
          <w:highlight w:val="none"/>
        </w:rPr>
        <w:t>NB/T 20358-2018</w:t>
      </w:r>
      <w:r>
        <w:rPr>
          <w:rFonts w:hint="eastAsia" w:ascii="Times New Roman" w:hAnsi="Times New Roman"/>
          <w:szCs w:val="21"/>
        </w:rPr>
        <w:t>有关规定。</w:t>
      </w:r>
    </w:p>
    <w:p w14:paraId="4AC8F737">
      <w:pPr>
        <w:pStyle w:val="31"/>
        <w:spacing w:line="360" w:lineRule="auto"/>
        <w:rPr>
          <w:rFonts w:ascii="Times New Roman" w:hAnsi="Times New Roman"/>
          <w:szCs w:val="21"/>
        </w:rPr>
      </w:pPr>
      <w:r>
        <w:rPr>
          <w:rFonts w:ascii="Times New Roman" w:hAnsi="Times New Roman"/>
          <w:szCs w:val="21"/>
        </w:rPr>
        <w:t>3.2</w:t>
      </w:r>
      <w:r>
        <w:rPr>
          <w:rFonts w:ascii="Times New Roman" w:hAnsi="Times New Roman"/>
          <w:szCs w:val="21"/>
        </w:rPr>
        <w:tab/>
      </w:r>
      <w:r>
        <w:rPr>
          <w:rFonts w:hint="eastAsia" w:ascii="Times New Roman" w:hAnsi="Times New Roman"/>
          <w:szCs w:val="21"/>
        </w:rPr>
        <w:t>监造方式</w:t>
      </w:r>
    </w:p>
    <w:p w14:paraId="7626FD9E">
      <w:pPr>
        <w:pStyle w:val="31"/>
        <w:spacing w:line="360" w:lineRule="auto"/>
        <w:rPr>
          <w:rFonts w:hint="eastAsia" w:ascii="Times New Roman" w:hAnsi="Times New Roman"/>
          <w:szCs w:val="21"/>
        </w:rPr>
      </w:pPr>
      <w:r>
        <w:rPr>
          <w:rFonts w:hint="eastAsia" w:ascii="Times New Roman" w:hAnsi="Times New Roman"/>
          <w:szCs w:val="21"/>
        </w:rPr>
        <w:t>文件见证、现场见证和停工待检，即</w:t>
      </w:r>
      <w:r>
        <w:rPr>
          <w:rFonts w:ascii="Times New Roman" w:hAnsi="Times New Roman"/>
          <w:szCs w:val="21"/>
        </w:rPr>
        <w:t>R</w:t>
      </w:r>
      <w:r>
        <w:rPr>
          <w:rFonts w:hint="eastAsia" w:ascii="Times New Roman" w:hAnsi="Times New Roman"/>
          <w:szCs w:val="21"/>
        </w:rPr>
        <w:t>点、</w:t>
      </w:r>
      <w:r>
        <w:rPr>
          <w:rFonts w:ascii="Times New Roman" w:hAnsi="Times New Roman"/>
          <w:szCs w:val="21"/>
        </w:rPr>
        <w:t>W</w:t>
      </w:r>
      <w:r>
        <w:rPr>
          <w:rFonts w:hint="eastAsia" w:ascii="Times New Roman" w:hAnsi="Times New Roman"/>
          <w:szCs w:val="21"/>
        </w:rPr>
        <w:t>点和</w:t>
      </w:r>
      <w:r>
        <w:rPr>
          <w:rFonts w:ascii="Times New Roman" w:hAnsi="Times New Roman"/>
          <w:szCs w:val="21"/>
        </w:rPr>
        <w:t>H</w:t>
      </w:r>
      <w:r>
        <w:rPr>
          <w:rFonts w:hint="eastAsia" w:ascii="Times New Roman" w:hAnsi="Times New Roman"/>
          <w:szCs w:val="21"/>
        </w:rPr>
        <w:t>点。</w:t>
      </w:r>
    </w:p>
    <w:p w14:paraId="7D269488">
      <w:pPr>
        <w:pStyle w:val="31"/>
        <w:spacing w:line="360" w:lineRule="auto"/>
        <w:rPr>
          <w:rFonts w:hint="eastAsia" w:ascii="Times New Roman" w:hAnsi="Times New Roman"/>
          <w:szCs w:val="21"/>
        </w:rPr>
      </w:pPr>
      <w:r>
        <w:rPr>
          <w:rFonts w:hint="eastAsia" w:ascii="Times New Roman" w:hAnsi="Times New Roman"/>
          <w:szCs w:val="21"/>
        </w:rPr>
        <w:t>R点：投标人提供检验或试验记录或报告的项目，即文件见证。</w:t>
      </w:r>
    </w:p>
    <w:p w14:paraId="7715DA6A">
      <w:pPr>
        <w:pStyle w:val="31"/>
        <w:spacing w:line="360" w:lineRule="auto"/>
        <w:rPr>
          <w:rFonts w:hint="eastAsia" w:ascii="Times New Roman" w:hAnsi="Times New Roman"/>
          <w:szCs w:val="21"/>
        </w:rPr>
      </w:pPr>
      <w:r>
        <w:rPr>
          <w:rFonts w:hint="eastAsia" w:ascii="Times New Roman" w:hAnsi="Times New Roman"/>
          <w:szCs w:val="21"/>
        </w:rPr>
        <w:t>W点：招标人监造代表参加的检验或试验项目，投标人提供检验或试验记录，即现场见证。</w:t>
      </w:r>
    </w:p>
    <w:p w14:paraId="0B4D45E7">
      <w:pPr>
        <w:pStyle w:val="31"/>
        <w:spacing w:line="360" w:lineRule="auto"/>
        <w:rPr>
          <w:rFonts w:hint="eastAsia" w:ascii="Times New Roman" w:hAnsi="Times New Roman"/>
          <w:szCs w:val="21"/>
        </w:rPr>
      </w:pPr>
      <w:r>
        <w:rPr>
          <w:rFonts w:hint="eastAsia" w:ascii="Times New Roman" w:hAnsi="Times New Roman"/>
          <w:szCs w:val="21"/>
        </w:rPr>
        <w:t>H点：停工待检。投标人在进行至该点时必须停工等待招标人监造代表参加的检验或试验项目，检验或试验后投标人提供检验或试验记录。</w:t>
      </w:r>
    </w:p>
    <w:p w14:paraId="4F0A25DE">
      <w:pPr>
        <w:pStyle w:val="31"/>
        <w:spacing w:line="360" w:lineRule="auto"/>
        <w:ind w:firstLine="420" w:firstLineChars="200"/>
        <w:rPr>
          <w:rFonts w:hint="eastAsia" w:ascii="Times New Roman" w:hAnsi="Times New Roman"/>
          <w:szCs w:val="21"/>
        </w:rPr>
      </w:pPr>
      <w:r>
        <w:rPr>
          <w:rFonts w:hint="eastAsia" w:ascii="Times New Roman" w:hAnsi="Times New Roman"/>
          <w:szCs w:val="21"/>
        </w:rPr>
        <w:t>招标人接到质量见证通知后，应及时派代表到投标人方参加现场见证。如果招标人代表不能按期参加，W点自动转为R点，但H点没有招标人书面通知同意转为R点时，投标人不得自动转入下道工序，应与招标人联系商定更改见证日期，如果更改时间后，招标人仍未按时到达，则H点自动转为R点。</w:t>
      </w:r>
    </w:p>
    <w:p w14:paraId="5403ECAA">
      <w:pPr>
        <w:pStyle w:val="31"/>
        <w:spacing w:line="360" w:lineRule="auto"/>
        <w:ind w:firstLine="420" w:firstLineChars="200"/>
        <w:rPr>
          <w:rFonts w:hint="eastAsia" w:ascii="Times New Roman" w:hAnsi="Times New Roman"/>
          <w:szCs w:val="21"/>
        </w:rPr>
      </w:pPr>
      <w:r>
        <w:rPr>
          <w:rFonts w:hint="eastAsia" w:ascii="Times New Roman" w:hAnsi="Times New Roman"/>
          <w:szCs w:val="21"/>
        </w:rPr>
        <w:t>每次监造内容完成后，投标人和招标人监造代表均须在见证表上履行签字手续。投标人复印3份，交招标人监造代表1份。</w:t>
      </w:r>
    </w:p>
    <w:p w14:paraId="709FB8DB">
      <w:pPr>
        <w:pStyle w:val="31"/>
        <w:spacing w:line="360" w:lineRule="auto"/>
        <w:rPr>
          <w:rFonts w:hint="eastAsia" w:ascii="Times New Roman" w:hAnsi="Times New Roman"/>
          <w:szCs w:val="21"/>
        </w:rPr>
      </w:pPr>
      <w:r>
        <w:rPr>
          <w:rFonts w:ascii="Times New Roman" w:hAnsi="Times New Roman"/>
          <w:szCs w:val="21"/>
        </w:rPr>
        <w:t>3.3</w:t>
      </w:r>
      <w:r>
        <w:rPr>
          <w:rFonts w:hint="eastAsia" w:ascii="Times New Roman" w:hAnsi="Times New Roman"/>
          <w:szCs w:val="21"/>
        </w:rPr>
        <w:tab/>
      </w:r>
      <w:r>
        <w:rPr>
          <w:rFonts w:hint="eastAsia" w:ascii="Times New Roman" w:hAnsi="Times New Roman"/>
          <w:szCs w:val="21"/>
        </w:rPr>
        <w:t>监造内容</w:t>
      </w:r>
    </w:p>
    <w:p w14:paraId="0459E061">
      <w:pPr>
        <w:pStyle w:val="31"/>
        <w:spacing w:line="360" w:lineRule="auto"/>
        <w:rPr>
          <w:rFonts w:hint="eastAsia" w:ascii="Times New Roman" w:hAnsi="Times New Roman"/>
          <w:szCs w:val="21"/>
        </w:rPr>
      </w:pPr>
      <w:r>
        <w:rPr>
          <w:rFonts w:hint="eastAsia" w:ascii="Times New Roman" w:hAnsi="Times New Roman"/>
          <w:szCs w:val="21"/>
        </w:rPr>
        <w:tab/>
      </w:r>
      <w:r>
        <w:rPr>
          <w:rFonts w:hint="eastAsia" w:ascii="Times New Roman" w:hAnsi="Times New Roman"/>
          <w:szCs w:val="21"/>
        </w:rPr>
        <w:t>具体监造内容﹑监造方式由业主确定。</w:t>
      </w:r>
    </w:p>
    <w:p w14:paraId="27735CF4">
      <w:pPr>
        <w:pStyle w:val="31"/>
        <w:spacing w:line="360" w:lineRule="auto"/>
        <w:rPr>
          <w:rFonts w:ascii="Times New Roman" w:hAnsi="Times New Roman"/>
          <w:szCs w:val="21"/>
        </w:rPr>
      </w:pPr>
      <w:r>
        <w:rPr>
          <w:rFonts w:hint="eastAsia" w:ascii="Times New Roman" w:hAnsi="Times New Roman"/>
          <w:szCs w:val="21"/>
        </w:rPr>
        <w:t>监造项目及方式表</w:t>
      </w:r>
    </w:p>
    <w:tbl>
      <w:tblPr>
        <w:tblStyle w:val="5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88"/>
        <w:gridCol w:w="4680"/>
        <w:gridCol w:w="648"/>
        <w:gridCol w:w="792"/>
        <w:gridCol w:w="530"/>
        <w:gridCol w:w="1326"/>
      </w:tblGrid>
      <w:tr w14:paraId="0F219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blHeader/>
        </w:trPr>
        <w:tc>
          <w:tcPr>
            <w:tcW w:w="388" w:type="dxa"/>
            <w:vMerge w:val="restart"/>
            <w:tcBorders>
              <w:left w:val="single" w:color="auto" w:sz="6" w:space="0"/>
              <w:bottom w:val="nil"/>
            </w:tcBorders>
            <w:noWrap w:val="0"/>
            <w:vAlign w:val="top"/>
          </w:tcPr>
          <w:p w14:paraId="4D01684E">
            <w:pPr>
              <w:pStyle w:val="31"/>
              <w:spacing w:line="360" w:lineRule="auto"/>
              <w:rPr>
                <w:rFonts w:ascii="Times New Roman" w:hAnsi="Times New Roman"/>
                <w:szCs w:val="21"/>
              </w:rPr>
            </w:pPr>
            <w:r>
              <w:rPr>
                <w:rFonts w:hint="eastAsia" w:ascii="Times New Roman" w:hAnsi="Times New Roman"/>
                <w:szCs w:val="21"/>
              </w:rPr>
              <w:t>序</w:t>
            </w:r>
          </w:p>
          <w:p w14:paraId="49A87F68">
            <w:pPr>
              <w:pStyle w:val="31"/>
              <w:spacing w:line="360" w:lineRule="auto"/>
              <w:rPr>
                <w:rFonts w:ascii="Times New Roman" w:hAnsi="Times New Roman"/>
                <w:szCs w:val="21"/>
              </w:rPr>
            </w:pPr>
            <w:r>
              <w:rPr>
                <w:rFonts w:hint="eastAsia" w:ascii="Times New Roman" w:hAnsi="Times New Roman"/>
                <w:szCs w:val="21"/>
              </w:rPr>
              <w:t>号</w:t>
            </w:r>
          </w:p>
        </w:tc>
        <w:tc>
          <w:tcPr>
            <w:tcW w:w="4680" w:type="dxa"/>
            <w:vMerge w:val="restart"/>
            <w:tcBorders>
              <w:bottom w:val="nil"/>
            </w:tcBorders>
            <w:noWrap w:val="0"/>
            <w:vAlign w:val="top"/>
          </w:tcPr>
          <w:p w14:paraId="35D32F4B">
            <w:pPr>
              <w:pStyle w:val="31"/>
              <w:spacing w:line="360" w:lineRule="auto"/>
              <w:rPr>
                <w:rFonts w:ascii="Times New Roman" w:hAnsi="Times New Roman"/>
                <w:szCs w:val="21"/>
              </w:rPr>
            </w:pPr>
            <w:r>
              <w:rPr>
                <w:rFonts w:hint="eastAsia" w:ascii="Times New Roman" w:hAnsi="Times New Roman"/>
                <w:szCs w:val="21"/>
              </w:rPr>
              <w:t>项</w:t>
            </w:r>
            <w:r>
              <w:rPr>
                <w:rFonts w:ascii="Times New Roman" w:hAnsi="Times New Roman"/>
                <w:szCs w:val="21"/>
              </w:rPr>
              <w:t xml:space="preserve">  </w:t>
            </w:r>
            <w:r>
              <w:rPr>
                <w:rFonts w:hint="eastAsia" w:ascii="Times New Roman" w:hAnsi="Times New Roman"/>
                <w:szCs w:val="21"/>
              </w:rPr>
              <w:t>目</w:t>
            </w:r>
          </w:p>
          <w:p w14:paraId="53F78309">
            <w:pPr>
              <w:pStyle w:val="31"/>
              <w:spacing w:line="360" w:lineRule="auto"/>
              <w:rPr>
                <w:rFonts w:ascii="Times New Roman" w:hAnsi="Times New Roman"/>
                <w:szCs w:val="21"/>
              </w:rPr>
            </w:pPr>
            <w:r>
              <w:rPr>
                <w:rFonts w:hint="eastAsia" w:ascii="Times New Roman" w:hAnsi="Times New Roman"/>
                <w:szCs w:val="21"/>
              </w:rPr>
              <w:t>内</w:t>
            </w:r>
            <w:r>
              <w:rPr>
                <w:rFonts w:ascii="Times New Roman" w:hAnsi="Times New Roman"/>
                <w:szCs w:val="21"/>
              </w:rPr>
              <w:t xml:space="preserve">  </w:t>
            </w:r>
            <w:r>
              <w:rPr>
                <w:rFonts w:hint="eastAsia" w:ascii="Times New Roman" w:hAnsi="Times New Roman"/>
                <w:szCs w:val="21"/>
              </w:rPr>
              <w:t>容</w:t>
            </w:r>
          </w:p>
        </w:tc>
        <w:tc>
          <w:tcPr>
            <w:tcW w:w="1970" w:type="dxa"/>
            <w:gridSpan w:val="3"/>
            <w:tcBorders>
              <w:bottom w:val="nil"/>
            </w:tcBorders>
            <w:noWrap w:val="0"/>
            <w:vAlign w:val="top"/>
          </w:tcPr>
          <w:p w14:paraId="07E94D38">
            <w:pPr>
              <w:pStyle w:val="31"/>
              <w:spacing w:line="360" w:lineRule="auto"/>
              <w:rPr>
                <w:rFonts w:ascii="Times New Roman" w:hAnsi="Times New Roman"/>
                <w:szCs w:val="21"/>
              </w:rPr>
            </w:pPr>
            <w:r>
              <w:rPr>
                <w:rFonts w:hint="eastAsia" w:ascii="Times New Roman" w:hAnsi="Times New Roman"/>
                <w:szCs w:val="21"/>
              </w:rPr>
              <w:t>监造方式</w:t>
            </w:r>
          </w:p>
        </w:tc>
        <w:tc>
          <w:tcPr>
            <w:tcW w:w="1326" w:type="dxa"/>
            <w:vMerge w:val="restart"/>
            <w:tcBorders>
              <w:bottom w:val="nil"/>
              <w:right w:val="single" w:color="auto" w:sz="6" w:space="0"/>
            </w:tcBorders>
            <w:noWrap w:val="0"/>
            <w:vAlign w:val="top"/>
          </w:tcPr>
          <w:p w14:paraId="1D5E6EC1">
            <w:pPr>
              <w:pStyle w:val="31"/>
              <w:spacing w:line="360" w:lineRule="auto"/>
              <w:rPr>
                <w:rFonts w:ascii="Times New Roman" w:hAnsi="Times New Roman"/>
                <w:szCs w:val="21"/>
              </w:rPr>
            </w:pPr>
            <w:r>
              <w:rPr>
                <w:rFonts w:hint="eastAsia" w:ascii="Times New Roman" w:hAnsi="Times New Roman"/>
                <w:szCs w:val="21"/>
              </w:rPr>
              <w:t>备</w:t>
            </w:r>
          </w:p>
          <w:p w14:paraId="0B8500AD">
            <w:pPr>
              <w:pStyle w:val="31"/>
              <w:spacing w:line="360" w:lineRule="auto"/>
              <w:rPr>
                <w:rFonts w:ascii="Times New Roman" w:hAnsi="Times New Roman"/>
                <w:szCs w:val="21"/>
              </w:rPr>
            </w:pPr>
            <w:r>
              <w:rPr>
                <w:rFonts w:hint="eastAsia" w:ascii="Times New Roman" w:hAnsi="Times New Roman"/>
                <w:szCs w:val="21"/>
              </w:rPr>
              <w:t>注</w:t>
            </w:r>
          </w:p>
        </w:tc>
      </w:tr>
      <w:tr w14:paraId="1A1C0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blHeader/>
        </w:trPr>
        <w:tc>
          <w:tcPr>
            <w:tcW w:w="388" w:type="dxa"/>
            <w:vMerge w:val="continue"/>
            <w:tcBorders>
              <w:top w:val="nil"/>
              <w:left w:val="single" w:color="auto" w:sz="6" w:space="0"/>
            </w:tcBorders>
            <w:noWrap w:val="0"/>
            <w:vAlign w:val="top"/>
          </w:tcPr>
          <w:p w14:paraId="4F51E4FD">
            <w:pPr>
              <w:pStyle w:val="31"/>
              <w:spacing w:line="360" w:lineRule="auto"/>
              <w:rPr>
                <w:rFonts w:ascii="Times New Roman" w:hAnsi="Times New Roman"/>
                <w:szCs w:val="21"/>
              </w:rPr>
            </w:pPr>
          </w:p>
        </w:tc>
        <w:tc>
          <w:tcPr>
            <w:tcW w:w="4680" w:type="dxa"/>
            <w:vMerge w:val="continue"/>
            <w:tcBorders>
              <w:top w:val="nil"/>
            </w:tcBorders>
            <w:noWrap w:val="0"/>
            <w:vAlign w:val="top"/>
          </w:tcPr>
          <w:p w14:paraId="12E7FD12">
            <w:pPr>
              <w:pStyle w:val="31"/>
              <w:spacing w:line="360" w:lineRule="auto"/>
              <w:rPr>
                <w:rFonts w:ascii="Times New Roman" w:hAnsi="Times New Roman"/>
                <w:szCs w:val="21"/>
              </w:rPr>
            </w:pPr>
          </w:p>
        </w:tc>
        <w:tc>
          <w:tcPr>
            <w:tcW w:w="648" w:type="dxa"/>
            <w:noWrap w:val="0"/>
            <w:vAlign w:val="top"/>
          </w:tcPr>
          <w:p w14:paraId="266E460F">
            <w:pPr>
              <w:pStyle w:val="31"/>
              <w:spacing w:line="360" w:lineRule="auto"/>
              <w:rPr>
                <w:rFonts w:ascii="Times New Roman" w:hAnsi="Times New Roman"/>
                <w:szCs w:val="21"/>
              </w:rPr>
            </w:pPr>
            <w:r>
              <w:rPr>
                <w:rFonts w:ascii="Times New Roman" w:hAnsi="Times New Roman"/>
                <w:szCs w:val="21"/>
              </w:rPr>
              <w:t>H</w:t>
            </w:r>
          </w:p>
        </w:tc>
        <w:tc>
          <w:tcPr>
            <w:tcW w:w="792" w:type="dxa"/>
            <w:noWrap w:val="0"/>
            <w:vAlign w:val="top"/>
          </w:tcPr>
          <w:p w14:paraId="5C63EDEE">
            <w:pPr>
              <w:pStyle w:val="31"/>
              <w:spacing w:line="360" w:lineRule="auto"/>
              <w:rPr>
                <w:rFonts w:ascii="Times New Roman" w:hAnsi="Times New Roman"/>
                <w:szCs w:val="21"/>
              </w:rPr>
            </w:pPr>
            <w:r>
              <w:rPr>
                <w:rFonts w:ascii="Times New Roman" w:hAnsi="Times New Roman"/>
                <w:szCs w:val="21"/>
              </w:rPr>
              <w:t>W</w:t>
            </w:r>
          </w:p>
        </w:tc>
        <w:tc>
          <w:tcPr>
            <w:tcW w:w="530" w:type="dxa"/>
            <w:noWrap w:val="0"/>
            <w:vAlign w:val="top"/>
          </w:tcPr>
          <w:p w14:paraId="0A4C0804">
            <w:pPr>
              <w:pStyle w:val="31"/>
              <w:spacing w:line="360" w:lineRule="auto"/>
              <w:rPr>
                <w:rFonts w:ascii="Times New Roman" w:hAnsi="Times New Roman"/>
                <w:szCs w:val="21"/>
              </w:rPr>
            </w:pPr>
            <w:r>
              <w:rPr>
                <w:rFonts w:ascii="Times New Roman" w:hAnsi="Times New Roman"/>
                <w:szCs w:val="21"/>
              </w:rPr>
              <w:t>R</w:t>
            </w:r>
          </w:p>
        </w:tc>
        <w:tc>
          <w:tcPr>
            <w:tcW w:w="1326" w:type="dxa"/>
            <w:vMerge w:val="continue"/>
            <w:tcBorders>
              <w:top w:val="nil"/>
              <w:right w:val="single" w:color="auto" w:sz="6" w:space="0"/>
            </w:tcBorders>
            <w:noWrap w:val="0"/>
            <w:vAlign w:val="top"/>
          </w:tcPr>
          <w:p w14:paraId="3D3862A0">
            <w:pPr>
              <w:pStyle w:val="31"/>
              <w:spacing w:line="360" w:lineRule="auto"/>
              <w:rPr>
                <w:rFonts w:ascii="Times New Roman" w:hAnsi="Times New Roman"/>
                <w:szCs w:val="21"/>
              </w:rPr>
            </w:pPr>
          </w:p>
        </w:tc>
      </w:tr>
      <w:tr w14:paraId="66CE1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2424BC16">
            <w:pPr>
              <w:pStyle w:val="31"/>
              <w:spacing w:line="360" w:lineRule="auto"/>
              <w:rPr>
                <w:rFonts w:ascii="Times New Roman" w:hAnsi="Times New Roman"/>
                <w:szCs w:val="21"/>
              </w:rPr>
            </w:pPr>
          </w:p>
        </w:tc>
        <w:tc>
          <w:tcPr>
            <w:tcW w:w="4680" w:type="dxa"/>
            <w:noWrap w:val="0"/>
            <w:vAlign w:val="top"/>
          </w:tcPr>
          <w:p w14:paraId="35006E3E">
            <w:pPr>
              <w:pStyle w:val="31"/>
              <w:spacing w:line="360" w:lineRule="auto"/>
              <w:rPr>
                <w:rFonts w:ascii="Times New Roman" w:hAnsi="Times New Roman"/>
                <w:szCs w:val="21"/>
              </w:rPr>
            </w:pPr>
          </w:p>
        </w:tc>
        <w:tc>
          <w:tcPr>
            <w:tcW w:w="1970" w:type="dxa"/>
            <w:gridSpan w:val="3"/>
            <w:noWrap w:val="0"/>
            <w:vAlign w:val="top"/>
          </w:tcPr>
          <w:p w14:paraId="1B04DC9A">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32B5FA3D">
            <w:pPr>
              <w:pStyle w:val="31"/>
              <w:spacing w:line="360" w:lineRule="auto"/>
              <w:rPr>
                <w:rFonts w:ascii="Times New Roman" w:hAnsi="Times New Roman"/>
                <w:szCs w:val="21"/>
              </w:rPr>
            </w:pPr>
          </w:p>
        </w:tc>
      </w:tr>
      <w:tr w14:paraId="4DBFC0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59B72F29">
            <w:pPr>
              <w:pStyle w:val="31"/>
              <w:spacing w:line="360" w:lineRule="auto"/>
              <w:rPr>
                <w:rFonts w:ascii="Times New Roman" w:hAnsi="Times New Roman"/>
                <w:szCs w:val="21"/>
              </w:rPr>
            </w:pPr>
          </w:p>
        </w:tc>
        <w:tc>
          <w:tcPr>
            <w:tcW w:w="4680" w:type="dxa"/>
            <w:noWrap w:val="0"/>
            <w:vAlign w:val="top"/>
          </w:tcPr>
          <w:p w14:paraId="4B0729EB">
            <w:pPr>
              <w:pStyle w:val="31"/>
              <w:spacing w:line="360" w:lineRule="auto"/>
              <w:rPr>
                <w:rFonts w:ascii="Times New Roman" w:hAnsi="Times New Roman"/>
                <w:szCs w:val="21"/>
              </w:rPr>
            </w:pPr>
          </w:p>
        </w:tc>
        <w:tc>
          <w:tcPr>
            <w:tcW w:w="1970" w:type="dxa"/>
            <w:gridSpan w:val="3"/>
            <w:noWrap w:val="0"/>
            <w:vAlign w:val="top"/>
          </w:tcPr>
          <w:p w14:paraId="77952846">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30D9EB8D">
            <w:pPr>
              <w:pStyle w:val="31"/>
              <w:spacing w:line="360" w:lineRule="auto"/>
              <w:rPr>
                <w:rFonts w:ascii="Times New Roman" w:hAnsi="Times New Roman"/>
                <w:szCs w:val="21"/>
              </w:rPr>
            </w:pPr>
          </w:p>
        </w:tc>
      </w:tr>
      <w:tr w14:paraId="06D7E2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7F7C61EE">
            <w:pPr>
              <w:pStyle w:val="31"/>
              <w:spacing w:line="360" w:lineRule="auto"/>
              <w:rPr>
                <w:rFonts w:ascii="Times New Roman" w:hAnsi="Times New Roman"/>
                <w:szCs w:val="21"/>
              </w:rPr>
            </w:pPr>
          </w:p>
        </w:tc>
        <w:tc>
          <w:tcPr>
            <w:tcW w:w="4680" w:type="dxa"/>
            <w:noWrap w:val="0"/>
            <w:vAlign w:val="top"/>
          </w:tcPr>
          <w:p w14:paraId="72B305A5">
            <w:pPr>
              <w:pStyle w:val="31"/>
              <w:spacing w:line="360" w:lineRule="auto"/>
              <w:rPr>
                <w:rFonts w:ascii="Times New Roman" w:hAnsi="Times New Roman"/>
                <w:szCs w:val="21"/>
              </w:rPr>
            </w:pPr>
          </w:p>
        </w:tc>
        <w:tc>
          <w:tcPr>
            <w:tcW w:w="1970" w:type="dxa"/>
            <w:gridSpan w:val="3"/>
            <w:noWrap w:val="0"/>
            <w:vAlign w:val="top"/>
          </w:tcPr>
          <w:p w14:paraId="75262FBE">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371C290E">
            <w:pPr>
              <w:pStyle w:val="31"/>
              <w:spacing w:line="360" w:lineRule="auto"/>
              <w:rPr>
                <w:rFonts w:ascii="Times New Roman" w:hAnsi="Times New Roman"/>
                <w:szCs w:val="21"/>
              </w:rPr>
            </w:pPr>
          </w:p>
        </w:tc>
      </w:tr>
      <w:tr w14:paraId="7D702D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312005A9">
            <w:pPr>
              <w:pStyle w:val="31"/>
              <w:spacing w:line="360" w:lineRule="auto"/>
              <w:rPr>
                <w:rFonts w:ascii="Times New Roman" w:hAnsi="Times New Roman"/>
                <w:szCs w:val="21"/>
              </w:rPr>
            </w:pPr>
          </w:p>
        </w:tc>
        <w:tc>
          <w:tcPr>
            <w:tcW w:w="4680" w:type="dxa"/>
            <w:noWrap w:val="0"/>
            <w:vAlign w:val="top"/>
          </w:tcPr>
          <w:p w14:paraId="7C60C2B8">
            <w:pPr>
              <w:pStyle w:val="31"/>
              <w:spacing w:line="360" w:lineRule="auto"/>
              <w:rPr>
                <w:rFonts w:ascii="Times New Roman" w:hAnsi="Times New Roman"/>
                <w:szCs w:val="21"/>
              </w:rPr>
            </w:pPr>
          </w:p>
        </w:tc>
        <w:tc>
          <w:tcPr>
            <w:tcW w:w="1970" w:type="dxa"/>
            <w:gridSpan w:val="3"/>
            <w:noWrap w:val="0"/>
            <w:vAlign w:val="top"/>
          </w:tcPr>
          <w:p w14:paraId="6AEEF2CD">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5B9701F4">
            <w:pPr>
              <w:pStyle w:val="31"/>
              <w:spacing w:line="360" w:lineRule="auto"/>
              <w:rPr>
                <w:rFonts w:ascii="Times New Roman" w:hAnsi="Times New Roman"/>
                <w:szCs w:val="21"/>
              </w:rPr>
            </w:pPr>
          </w:p>
        </w:tc>
      </w:tr>
      <w:tr w14:paraId="482AB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562C225D">
            <w:pPr>
              <w:pStyle w:val="31"/>
              <w:spacing w:line="360" w:lineRule="auto"/>
              <w:rPr>
                <w:rFonts w:ascii="Times New Roman" w:hAnsi="Times New Roman"/>
                <w:szCs w:val="21"/>
              </w:rPr>
            </w:pPr>
          </w:p>
        </w:tc>
        <w:tc>
          <w:tcPr>
            <w:tcW w:w="4680" w:type="dxa"/>
            <w:noWrap w:val="0"/>
            <w:vAlign w:val="top"/>
          </w:tcPr>
          <w:p w14:paraId="11F08419">
            <w:pPr>
              <w:pStyle w:val="31"/>
              <w:spacing w:line="360" w:lineRule="auto"/>
              <w:rPr>
                <w:rFonts w:ascii="Times New Roman" w:hAnsi="Times New Roman"/>
                <w:szCs w:val="21"/>
              </w:rPr>
            </w:pPr>
          </w:p>
        </w:tc>
        <w:tc>
          <w:tcPr>
            <w:tcW w:w="1970" w:type="dxa"/>
            <w:gridSpan w:val="3"/>
            <w:noWrap w:val="0"/>
            <w:vAlign w:val="top"/>
          </w:tcPr>
          <w:p w14:paraId="1F3AD4EA">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3848872C">
            <w:pPr>
              <w:pStyle w:val="31"/>
              <w:spacing w:line="360" w:lineRule="auto"/>
              <w:rPr>
                <w:rFonts w:ascii="Times New Roman" w:hAnsi="Times New Roman"/>
                <w:szCs w:val="21"/>
              </w:rPr>
            </w:pPr>
          </w:p>
        </w:tc>
      </w:tr>
      <w:tr w14:paraId="540856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6B4EDC60">
            <w:pPr>
              <w:pStyle w:val="31"/>
              <w:spacing w:line="360" w:lineRule="auto"/>
              <w:rPr>
                <w:rFonts w:ascii="Times New Roman" w:hAnsi="Times New Roman"/>
                <w:szCs w:val="21"/>
              </w:rPr>
            </w:pPr>
          </w:p>
        </w:tc>
        <w:tc>
          <w:tcPr>
            <w:tcW w:w="4680" w:type="dxa"/>
            <w:noWrap w:val="0"/>
            <w:vAlign w:val="top"/>
          </w:tcPr>
          <w:p w14:paraId="1AA01483">
            <w:pPr>
              <w:pStyle w:val="31"/>
              <w:spacing w:line="360" w:lineRule="auto"/>
              <w:rPr>
                <w:rFonts w:ascii="Times New Roman" w:hAnsi="Times New Roman"/>
                <w:szCs w:val="21"/>
              </w:rPr>
            </w:pPr>
          </w:p>
        </w:tc>
        <w:tc>
          <w:tcPr>
            <w:tcW w:w="1970" w:type="dxa"/>
            <w:gridSpan w:val="3"/>
            <w:noWrap w:val="0"/>
            <w:vAlign w:val="top"/>
          </w:tcPr>
          <w:p w14:paraId="4886E137">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35281BF4">
            <w:pPr>
              <w:pStyle w:val="31"/>
              <w:spacing w:line="360" w:lineRule="auto"/>
              <w:rPr>
                <w:rFonts w:ascii="Times New Roman" w:hAnsi="Times New Roman"/>
                <w:szCs w:val="21"/>
              </w:rPr>
            </w:pPr>
          </w:p>
        </w:tc>
      </w:tr>
      <w:tr w14:paraId="61D44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0DE936E7">
            <w:pPr>
              <w:pStyle w:val="31"/>
              <w:spacing w:line="360" w:lineRule="auto"/>
              <w:rPr>
                <w:rFonts w:ascii="Times New Roman" w:hAnsi="Times New Roman"/>
                <w:szCs w:val="21"/>
              </w:rPr>
            </w:pPr>
          </w:p>
        </w:tc>
        <w:tc>
          <w:tcPr>
            <w:tcW w:w="4680" w:type="dxa"/>
            <w:noWrap w:val="0"/>
            <w:vAlign w:val="top"/>
          </w:tcPr>
          <w:p w14:paraId="199B1AA1">
            <w:pPr>
              <w:pStyle w:val="31"/>
              <w:spacing w:line="360" w:lineRule="auto"/>
              <w:rPr>
                <w:rFonts w:ascii="Times New Roman" w:hAnsi="Times New Roman"/>
                <w:szCs w:val="21"/>
              </w:rPr>
            </w:pPr>
          </w:p>
        </w:tc>
        <w:tc>
          <w:tcPr>
            <w:tcW w:w="1970" w:type="dxa"/>
            <w:gridSpan w:val="3"/>
            <w:noWrap w:val="0"/>
            <w:vAlign w:val="top"/>
          </w:tcPr>
          <w:p w14:paraId="7EFD3AEA">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04286D4A">
            <w:pPr>
              <w:pStyle w:val="31"/>
              <w:spacing w:line="360" w:lineRule="auto"/>
              <w:rPr>
                <w:rFonts w:ascii="Times New Roman" w:hAnsi="Times New Roman"/>
                <w:szCs w:val="21"/>
              </w:rPr>
            </w:pPr>
          </w:p>
        </w:tc>
      </w:tr>
      <w:tr w14:paraId="7469E0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28E651EC">
            <w:pPr>
              <w:pStyle w:val="31"/>
              <w:spacing w:line="360" w:lineRule="auto"/>
              <w:rPr>
                <w:rFonts w:ascii="Times New Roman" w:hAnsi="Times New Roman"/>
                <w:szCs w:val="21"/>
              </w:rPr>
            </w:pPr>
          </w:p>
        </w:tc>
        <w:tc>
          <w:tcPr>
            <w:tcW w:w="4680" w:type="dxa"/>
            <w:noWrap w:val="0"/>
            <w:vAlign w:val="top"/>
          </w:tcPr>
          <w:p w14:paraId="3E0FC1C8">
            <w:pPr>
              <w:pStyle w:val="31"/>
              <w:spacing w:line="360" w:lineRule="auto"/>
              <w:rPr>
                <w:rFonts w:ascii="Times New Roman" w:hAnsi="Times New Roman"/>
                <w:szCs w:val="21"/>
              </w:rPr>
            </w:pPr>
          </w:p>
        </w:tc>
        <w:tc>
          <w:tcPr>
            <w:tcW w:w="1970" w:type="dxa"/>
            <w:gridSpan w:val="3"/>
            <w:noWrap w:val="0"/>
            <w:vAlign w:val="top"/>
          </w:tcPr>
          <w:p w14:paraId="4D9ED899">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0325920B">
            <w:pPr>
              <w:pStyle w:val="31"/>
              <w:spacing w:line="360" w:lineRule="auto"/>
              <w:rPr>
                <w:rFonts w:ascii="Times New Roman" w:hAnsi="Times New Roman"/>
                <w:szCs w:val="21"/>
              </w:rPr>
            </w:pPr>
          </w:p>
        </w:tc>
      </w:tr>
      <w:tr w14:paraId="2198B0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6665DE91">
            <w:pPr>
              <w:pStyle w:val="31"/>
              <w:spacing w:line="360" w:lineRule="auto"/>
              <w:rPr>
                <w:rFonts w:ascii="Times New Roman" w:hAnsi="Times New Roman"/>
                <w:szCs w:val="21"/>
              </w:rPr>
            </w:pPr>
          </w:p>
        </w:tc>
        <w:tc>
          <w:tcPr>
            <w:tcW w:w="4680" w:type="dxa"/>
            <w:noWrap w:val="0"/>
            <w:vAlign w:val="top"/>
          </w:tcPr>
          <w:p w14:paraId="7D5630B4">
            <w:pPr>
              <w:pStyle w:val="31"/>
              <w:spacing w:line="360" w:lineRule="auto"/>
              <w:rPr>
                <w:rFonts w:ascii="Times New Roman" w:hAnsi="Times New Roman"/>
                <w:szCs w:val="21"/>
              </w:rPr>
            </w:pPr>
          </w:p>
        </w:tc>
        <w:tc>
          <w:tcPr>
            <w:tcW w:w="1970" w:type="dxa"/>
            <w:gridSpan w:val="3"/>
            <w:noWrap w:val="0"/>
            <w:vAlign w:val="top"/>
          </w:tcPr>
          <w:p w14:paraId="05B53FBF">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3ADAD048">
            <w:pPr>
              <w:pStyle w:val="31"/>
              <w:spacing w:line="360" w:lineRule="auto"/>
              <w:rPr>
                <w:rFonts w:ascii="Times New Roman" w:hAnsi="Times New Roman"/>
                <w:szCs w:val="21"/>
              </w:rPr>
            </w:pPr>
          </w:p>
        </w:tc>
      </w:tr>
      <w:tr w14:paraId="5962C1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88" w:type="dxa"/>
            <w:tcBorders>
              <w:left w:val="single" w:color="auto" w:sz="6" w:space="0"/>
            </w:tcBorders>
            <w:noWrap w:val="0"/>
            <w:vAlign w:val="top"/>
          </w:tcPr>
          <w:p w14:paraId="690E7FDC">
            <w:pPr>
              <w:pStyle w:val="31"/>
              <w:spacing w:line="360" w:lineRule="auto"/>
              <w:rPr>
                <w:rFonts w:ascii="Times New Roman" w:hAnsi="Times New Roman"/>
                <w:szCs w:val="21"/>
              </w:rPr>
            </w:pPr>
          </w:p>
        </w:tc>
        <w:tc>
          <w:tcPr>
            <w:tcW w:w="4680" w:type="dxa"/>
            <w:noWrap w:val="0"/>
            <w:vAlign w:val="top"/>
          </w:tcPr>
          <w:p w14:paraId="292E130C">
            <w:pPr>
              <w:pStyle w:val="31"/>
              <w:spacing w:line="360" w:lineRule="auto"/>
              <w:rPr>
                <w:rFonts w:ascii="Times New Roman" w:hAnsi="Times New Roman"/>
                <w:szCs w:val="21"/>
              </w:rPr>
            </w:pPr>
          </w:p>
        </w:tc>
        <w:tc>
          <w:tcPr>
            <w:tcW w:w="1970" w:type="dxa"/>
            <w:gridSpan w:val="3"/>
            <w:noWrap w:val="0"/>
            <w:vAlign w:val="top"/>
          </w:tcPr>
          <w:p w14:paraId="669DC457">
            <w:pPr>
              <w:pStyle w:val="31"/>
              <w:spacing w:line="360" w:lineRule="auto"/>
              <w:rPr>
                <w:rFonts w:ascii="Times New Roman" w:hAnsi="Times New Roman"/>
                <w:szCs w:val="21"/>
              </w:rPr>
            </w:pPr>
          </w:p>
        </w:tc>
        <w:tc>
          <w:tcPr>
            <w:tcW w:w="1326" w:type="dxa"/>
            <w:tcBorders>
              <w:right w:val="single" w:color="auto" w:sz="6" w:space="0"/>
            </w:tcBorders>
            <w:noWrap w:val="0"/>
            <w:vAlign w:val="top"/>
          </w:tcPr>
          <w:p w14:paraId="62C30093">
            <w:pPr>
              <w:pStyle w:val="31"/>
              <w:spacing w:line="360" w:lineRule="auto"/>
              <w:rPr>
                <w:rFonts w:ascii="Times New Roman" w:hAnsi="Times New Roman"/>
                <w:szCs w:val="21"/>
              </w:rPr>
            </w:pPr>
          </w:p>
        </w:tc>
      </w:tr>
      <w:tr w14:paraId="2791F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8364" w:type="dxa"/>
            <w:gridSpan w:val="6"/>
            <w:noWrap w:val="0"/>
            <w:vAlign w:val="top"/>
          </w:tcPr>
          <w:p w14:paraId="6753EA04">
            <w:pPr>
              <w:pStyle w:val="31"/>
              <w:spacing w:line="360" w:lineRule="auto"/>
              <w:rPr>
                <w:rFonts w:ascii="Times New Roman" w:hAnsi="Times New Roman"/>
                <w:szCs w:val="21"/>
              </w:rPr>
            </w:pPr>
            <w:r>
              <w:rPr>
                <w:rFonts w:ascii="Times New Roman" w:hAnsi="Times New Roman"/>
                <w:szCs w:val="21"/>
              </w:rPr>
              <w:t xml:space="preserve">   </w:t>
            </w:r>
            <w:r>
              <w:rPr>
                <w:rFonts w:hint="eastAsia" w:ascii="Times New Roman" w:hAnsi="Times New Roman"/>
                <w:szCs w:val="21"/>
              </w:rPr>
              <w:t>注：</w:t>
            </w:r>
            <w:r>
              <w:rPr>
                <w:rFonts w:ascii="Times New Roman" w:hAnsi="Times New Roman"/>
                <w:szCs w:val="21"/>
              </w:rPr>
              <w:t>H—</w:t>
            </w:r>
            <w:r>
              <w:rPr>
                <w:rFonts w:hint="eastAsia" w:ascii="Times New Roman" w:hAnsi="Times New Roman"/>
                <w:szCs w:val="21"/>
              </w:rPr>
              <w:t>停工待检，</w:t>
            </w:r>
            <w:r>
              <w:rPr>
                <w:rFonts w:ascii="Times New Roman" w:hAnsi="Times New Roman"/>
                <w:szCs w:val="21"/>
              </w:rPr>
              <w:t>W—</w:t>
            </w:r>
            <w:r>
              <w:rPr>
                <w:rFonts w:hint="eastAsia" w:ascii="Times New Roman" w:hAnsi="Times New Roman"/>
                <w:szCs w:val="21"/>
              </w:rPr>
              <w:t>现场见证，</w:t>
            </w:r>
            <w:r>
              <w:rPr>
                <w:rFonts w:ascii="Times New Roman" w:hAnsi="Times New Roman"/>
                <w:szCs w:val="21"/>
              </w:rPr>
              <w:t>R—</w:t>
            </w:r>
            <w:r>
              <w:rPr>
                <w:rFonts w:hint="eastAsia" w:ascii="Times New Roman" w:hAnsi="Times New Roman"/>
                <w:szCs w:val="21"/>
              </w:rPr>
              <w:t>文件见证，数量</w:t>
            </w:r>
            <w:r>
              <w:rPr>
                <w:rFonts w:ascii="Times New Roman" w:hAnsi="Times New Roman"/>
                <w:szCs w:val="21"/>
              </w:rPr>
              <w:t>—</w:t>
            </w:r>
            <w:r>
              <w:rPr>
                <w:rFonts w:hint="eastAsia" w:ascii="Times New Roman" w:hAnsi="Times New Roman"/>
                <w:szCs w:val="21"/>
              </w:rPr>
              <w:t>检验数量</w:t>
            </w:r>
          </w:p>
        </w:tc>
      </w:tr>
    </w:tbl>
    <w:p w14:paraId="47D9BC09">
      <w:pPr>
        <w:pStyle w:val="31"/>
        <w:spacing w:line="360" w:lineRule="auto"/>
        <w:rPr>
          <w:rFonts w:hint="eastAsia" w:ascii="Times New Roman" w:hAnsi="Times New Roman"/>
          <w:szCs w:val="21"/>
        </w:rPr>
      </w:pPr>
    </w:p>
    <w:p w14:paraId="200DDB33">
      <w:pPr>
        <w:pStyle w:val="31"/>
        <w:spacing w:line="360" w:lineRule="auto"/>
        <w:rPr>
          <w:rFonts w:ascii="Times New Roman" w:hAnsi="Times New Roman"/>
          <w:szCs w:val="21"/>
        </w:rPr>
      </w:pPr>
      <w:r>
        <w:rPr>
          <w:rFonts w:hint="eastAsia" w:ascii="Times New Roman" w:hAnsi="Times New Roman"/>
          <w:szCs w:val="21"/>
        </w:rPr>
        <w:t>3</w:t>
      </w:r>
      <w:r>
        <w:rPr>
          <w:rFonts w:ascii="Times New Roman" w:hAnsi="Times New Roman"/>
          <w:szCs w:val="21"/>
        </w:rPr>
        <w:t xml:space="preserve">.4  </w:t>
      </w:r>
      <w:r>
        <w:rPr>
          <w:rFonts w:hint="eastAsia" w:ascii="Times New Roman" w:hAnsi="Times New Roman"/>
          <w:szCs w:val="21"/>
        </w:rPr>
        <w:t>对投标人配合监造的要求：</w:t>
      </w:r>
    </w:p>
    <w:p w14:paraId="401604A3">
      <w:pPr>
        <w:pStyle w:val="31"/>
        <w:spacing w:line="360" w:lineRule="auto"/>
        <w:rPr>
          <w:rFonts w:ascii="Times New Roman" w:hAnsi="Times New Roman"/>
          <w:szCs w:val="21"/>
        </w:rPr>
      </w:pPr>
      <w:r>
        <w:rPr>
          <w:rFonts w:hint="eastAsia" w:ascii="Times New Roman" w:hAnsi="Times New Roman"/>
          <w:szCs w:val="21"/>
        </w:rPr>
        <w:t>投标人为招标人提供以下方便：</w:t>
      </w:r>
    </w:p>
    <w:p w14:paraId="6C8A3FC0">
      <w:pPr>
        <w:pStyle w:val="31"/>
        <w:spacing w:line="360" w:lineRule="auto"/>
        <w:rPr>
          <w:rFonts w:hint="eastAsia" w:ascii="Times New Roman" w:hAnsi="Times New Roman"/>
          <w:szCs w:val="21"/>
        </w:rPr>
      </w:pPr>
      <w:r>
        <w:rPr>
          <w:rFonts w:hint="eastAsia" w:ascii="Times New Roman" w:hAnsi="Times New Roman"/>
          <w:szCs w:val="21"/>
        </w:rPr>
        <w:t>（1）</w:t>
      </w:r>
      <w:r>
        <w:rPr>
          <w:rFonts w:hint="eastAsia" w:ascii="Times New Roman" w:hAnsi="Times New Roman"/>
          <w:color w:val="auto"/>
          <w:szCs w:val="21"/>
        </w:rPr>
        <w:t>提前</w:t>
      </w:r>
      <w:r>
        <w:rPr>
          <w:rFonts w:hint="eastAsia" w:ascii="Times New Roman" w:hAnsi="Times New Roman"/>
          <w:color w:val="auto"/>
          <w:szCs w:val="21"/>
          <w:lang w:val="en-US" w:eastAsia="zh-CN"/>
        </w:rPr>
        <w:t>3</w:t>
      </w:r>
      <w:r>
        <w:rPr>
          <w:rFonts w:hint="eastAsia" w:ascii="Times New Roman" w:hAnsi="Times New Roman"/>
          <w:color w:val="auto"/>
          <w:szCs w:val="21"/>
        </w:rPr>
        <w:t>天</w:t>
      </w:r>
      <w:r>
        <w:rPr>
          <w:rFonts w:hint="eastAsia" w:ascii="Times New Roman" w:hAnsi="Times New Roman"/>
          <w:szCs w:val="21"/>
        </w:rPr>
        <w:t>将设备监造项目及检验时间通知招标人监造代表和招标人，监造项目和方式由招标人、投标人监造代表、招标人三方协商确定；</w:t>
      </w:r>
    </w:p>
    <w:p w14:paraId="77A35F36">
      <w:pPr>
        <w:pStyle w:val="31"/>
        <w:spacing w:line="360" w:lineRule="auto"/>
        <w:rPr>
          <w:rFonts w:ascii="Times New Roman" w:hAnsi="Times New Roman"/>
          <w:szCs w:val="21"/>
        </w:rPr>
      </w:pPr>
      <w:r>
        <w:rPr>
          <w:rFonts w:hint="eastAsia" w:ascii="Times New Roman" w:hAnsi="Times New Roman"/>
          <w:szCs w:val="21"/>
        </w:rPr>
        <w:t>（2）招标人监造代表和招标人代表有权通过投标人有关部门查（借）阅合同与本合同设备有关的标准、图纸、资料、工艺及检验记录（包括之间检验记录），如招标人认为有必要复印，投标人应提投标人便。</w:t>
      </w:r>
    </w:p>
    <w:p w14:paraId="1217C4B1">
      <w:pPr>
        <w:pStyle w:val="31"/>
        <w:spacing w:line="360" w:lineRule="auto"/>
        <w:rPr>
          <w:rFonts w:ascii="Times New Roman" w:hAnsi="Times New Roman"/>
          <w:szCs w:val="21"/>
        </w:rPr>
      </w:pPr>
      <w:r>
        <w:rPr>
          <w:rFonts w:hint="eastAsia" w:ascii="Times New Roman" w:hAnsi="Times New Roman"/>
          <w:szCs w:val="21"/>
        </w:rPr>
        <w:t>（3）招标人人员在监造过程中如发现设备和材料缺陷或不符合规定的标准要求时，招标人有权提出意见，投标人应采取相应改进措施，以保证设备质量。无论招标人是否要求和知道，投标人均应主动及时向招标人提供合同设备制造过程中出现的较大的质量缺陷和问题，不得隐瞒。在招标人不知道的情况下投标人不得擅自处理。</w:t>
      </w:r>
      <w:r>
        <w:rPr>
          <w:rFonts w:ascii="Times New Roman" w:hAnsi="Times New Roman"/>
          <w:szCs w:val="21"/>
        </w:rPr>
        <w:t xml:space="preserve">      </w:t>
      </w:r>
    </w:p>
    <w:p w14:paraId="009E5B5C">
      <w:pPr>
        <w:pStyle w:val="31"/>
        <w:spacing w:line="360" w:lineRule="auto"/>
        <w:outlineLvl w:val="0"/>
        <w:rPr>
          <w:rFonts w:ascii="Times New Roman" w:hAnsi="Times New Roman"/>
          <w:szCs w:val="21"/>
        </w:rPr>
      </w:pPr>
      <w:bookmarkStart w:id="57" w:name="_Toc264037169"/>
      <w:r>
        <w:rPr>
          <w:rFonts w:hint="eastAsia" w:ascii="Times New Roman" w:hAnsi="Times New Roman"/>
          <w:szCs w:val="21"/>
        </w:rPr>
        <w:t>4</w:t>
      </w:r>
      <w:r>
        <w:rPr>
          <w:rFonts w:ascii="Times New Roman" w:hAnsi="Times New Roman"/>
          <w:szCs w:val="21"/>
        </w:rPr>
        <w:t xml:space="preserve">.  </w:t>
      </w:r>
      <w:r>
        <w:rPr>
          <w:rFonts w:hint="eastAsia" w:ascii="Times New Roman" w:hAnsi="Times New Roman"/>
          <w:szCs w:val="21"/>
        </w:rPr>
        <w:t>性能验收试验</w:t>
      </w:r>
      <w:bookmarkEnd w:id="57"/>
    </w:p>
    <w:p w14:paraId="7C210AA7">
      <w:pPr>
        <w:pStyle w:val="31"/>
        <w:spacing w:line="360" w:lineRule="auto"/>
        <w:rPr>
          <w:rFonts w:ascii="Times New Roman" w:hAnsi="Times New Roman"/>
          <w:szCs w:val="21"/>
        </w:rPr>
      </w:pPr>
      <w:r>
        <w:rPr>
          <w:rFonts w:hint="eastAsia" w:ascii="Times New Roman" w:hAnsi="Times New Roman"/>
          <w:szCs w:val="21"/>
        </w:rPr>
        <w:t>4</w:t>
      </w:r>
      <w:r>
        <w:rPr>
          <w:rFonts w:ascii="Times New Roman" w:hAnsi="Times New Roman"/>
          <w:szCs w:val="21"/>
        </w:rPr>
        <w:t xml:space="preserve">.1  </w:t>
      </w:r>
      <w:r>
        <w:rPr>
          <w:rFonts w:hint="eastAsia" w:ascii="Times New Roman" w:hAnsi="Times New Roman"/>
          <w:szCs w:val="21"/>
        </w:rPr>
        <w:t>性能验收试验的目的为了检验合同设备的所有性能时否符合附件</w:t>
      </w:r>
      <w:r>
        <w:rPr>
          <w:rFonts w:ascii="Times New Roman" w:hAnsi="Times New Roman"/>
          <w:szCs w:val="21"/>
        </w:rPr>
        <w:t>1</w:t>
      </w:r>
      <w:r>
        <w:rPr>
          <w:rFonts w:hint="eastAsia" w:ascii="Times New Roman" w:hAnsi="Times New Roman"/>
          <w:szCs w:val="21"/>
        </w:rPr>
        <w:t>的要求。</w:t>
      </w:r>
    </w:p>
    <w:p w14:paraId="70FD81C0">
      <w:pPr>
        <w:pStyle w:val="31"/>
        <w:spacing w:line="360" w:lineRule="auto"/>
        <w:rPr>
          <w:rFonts w:ascii="Times New Roman" w:hAnsi="Times New Roman"/>
          <w:szCs w:val="21"/>
        </w:rPr>
      </w:pPr>
      <w:r>
        <w:rPr>
          <w:rFonts w:hint="eastAsia" w:ascii="Times New Roman" w:hAnsi="Times New Roman"/>
          <w:szCs w:val="21"/>
        </w:rPr>
        <w:t>4</w:t>
      </w:r>
      <w:r>
        <w:rPr>
          <w:rFonts w:ascii="Times New Roman" w:hAnsi="Times New Roman"/>
          <w:szCs w:val="21"/>
        </w:rPr>
        <w:t xml:space="preserve">.2  </w:t>
      </w:r>
      <w:r>
        <w:rPr>
          <w:rFonts w:hint="eastAsia" w:ascii="Times New Roman" w:hAnsi="Times New Roman"/>
          <w:szCs w:val="21"/>
        </w:rPr>
        <w:t>性能验收试验的地点由合同确定，一般为招标人现场。</w:t>
      </w:r>
    </w:p>
    <w:p w14:paraId="789ECC4E">
      <w:pPr>
        <w:pStyle w:val="31"/>
        <w:spacing w:line="360" w:lineRule="auto"/>
        <w:rPr>
          <w:rFonts w:ascii="Times New Roman" w:hAnsi="Times New Roman"/>
          <w:szCs w:val="21"/>
        </w:rPr>
      </w:pPr>
      <w:r>
        <w:rPr>
          <w:rFonts w:hint="eastAsia" w:ascii="Times New Roman" w:hAnsi="Times New Roman"/>
          <w:szCs w:val="21"/>
        </w:rPr>
        <w:t>4</w:t>
      </w:r>
      <w:r>
        <w:rPr>
          <w:rFonts w:ascii="Times New Roman" w:hAnsi="Times New Roman"/>
          <w:szCs w:val="21"/>
        </w:rPr>
        <w:t xml:space="preserve">.3  </w:t>
      </w:r>
      <w:r>
        <w:rPr>
          <w:rFonts w:hint="eastAsia" w:ascii="Times New Roman" w:hAnsi="Times New Roman"/>
          <w:szCs w:val="21"/>
        </w:rPr>
        <w:t>性能试验的时间由招标人和投标人共同商定。</w:t>
      </w:r>
    </w:p>
    <w:p w14:paraId="36B5343A">
      <w:pPr>
        <w:pStyle w:val="31"/>
        <w:spacing w:line="360" w:lineRule="auto"/>
        <w:rPr>
          <w:rFonts w:ascii="Times New Roman" w:hAnsi="Times New Roman"/>
          <w:szCs w:val="21"/>
        </w:rPr>
      </w:pPr>
      <w:r>
        <w:rPr>
          <w:rFonts w:hint="eastAsia" w:ascii="Times New Roman" w:hAnsi="Times New Roman"/>
          <w:szCs w:val="21"/>
        </w:rPr>
        <w:t>4</w:t>
      </w:r>
      <w:r>
        <w:rPr>
          <w:rFonts w:ascii="Times New Roman" w:hAnsi="Times New Roman"/>
          <w:szCs w:val="21"/>
        </w:rPr>
        <w:t xml:space="preserve">.4  </w:t>
      </w:r>
      <w:r>
        <w:rPr>
          <w:rFonts w:hint="eastAsia" w:ascii="Times New Roman" w:hAnsi="Times New Roman"/>
          <w:szCs w:val="21"/>
        </w:rPr>
        <w:t>性能验收试验在现场进行，投标人要按本附件</w:t>
      </w:r>
      <w:r>
        <w:rPr>
          <w:rFonts w:ascii="Times New Roman" w:hAnsi="Times New Roman"/>
          <w:szCs w:val="21"/>
        </w:rPr>
        <w:t>4.7</w:t>
      </w:r>
      <w:r>
        <w:rPr>
          <w:rFonts w:hint="eastAsia" w:ascii="Times New Roman" w:hAnsi="Times New Roman"/>
          <w:szCs w:val="21"/>
        </w:rPr>
        <w:t>款要求进行配合；如试验在工厂进行，试验所需的人力和物力等由投标人提供。</w:t>
      </w:r>
    </w:p>
    <w:p w14:paraId="0D9C82C9">
      <w:pPr>
        <w:pStyle w:val="31"/>
        <w:spacing w:line="360" w:lineRule="auto"/>
        <w:rPr>
          <w:rFonts w:ascii="Times New Roman" w:hAnsi="Times New Roman"/>
          <w:szCs w:val="21"/>
        </w:rPr>
      </w:pPr>
      <w:r>
        <w:rPr>
          <w:rFonts w:hint="eastAsia" w:ascii="Times New Roman" w:hAnsi="Times New Roman"/>
          <w:szCs w:val="21"/>
        </w:rPr>
        <w:t>4</w:t>
      </w:r>
      <w:r>
        <w:rPr>
          <w:rFonts w:ascii="Times New Roman" w:hAnsi="Times New Roman"/>
          <w:szCs w:val="21"/>
        </w:rPr>
        <w:t xml:space="preserve">.5  </w:t>
      </w:r>
      <w:r>
        <w:rPr>
          <w:rFonts w:hint="eastAsia" w:ascii="Times New Roman" w:hAnsi="Times New Roman"/>
          <w:szCs w:val="21"/>
        </w:rPr>
        <w:t>性能验收试验的内容</w:t>
      </w:r>
      <w:r>
        <w:rPr>
          <w:rFonts w:ascii="Times New Roman" w:hAnsi="Times New Roman"/>
          <w:szCs w:val="21"/>
        </w:rPr>
        <w:t xml:space="preserve"> </w:t>
      </w:r>
    </w:p>
    <w:p w14:paraId="29B7D4DC">
      <w:pPr>
        <w:pStyle w:val="31"/>
        <w:spacing w:line="360" w:lineRule="auto"/>
        <w:rPr>
          <w:rFonts w:hint="eastAsia" w:ascii="Times New Roman" w:hAnsi="Times New Roman"/>
          <w:szCs w:val="21"/>
        </w:rPr>
      </w:pPr>
      <w:r>
        <w:rPr>
          <w:rFonts w:hint="eastAsia" w:ascii="Times New Roman" w:hAnsi="Times New Roman"/>
          <w:szCs w:val="21"/>
        </w:rPr>
        <w:t>整套保护装置作为性能验收试验的对象，如果能证明某个故障是由投标人设备引起，都由投标人负责解决。</w:t>
      </w:r>
    </w:p>
    <w:p w14:paraId="2BE765F6">
      <w:pPr>
        <w:pStyle w:val="31"/>
        <w:spacing w:line="360" w:lineRule="auto"/>
        <w:rPr>
          <w:rFonts w:hint="eastAsia" w:ascii="Times New Roman" w:hAnsi="Times New Roman"/>
          <w:szCs w:val="21"/>
        </w:rPr>
      </w:pPr>
      <w:r>
        <w:rPr>
          <w:rFonts w:hint="eastAsia" w:ascii="Times New Roman" w:hAnsi="Times New Roman"/>
          <w:szCs w:val="21"/>
        </w:rPr>
        <w:t>（1）装置的硬件检验</w:t>
      </w:r>
    </w:p>
    <w:p w14:paraId="44B8829B">
      <w:pPr>
        <w:pStyle w:val="31"/>
        <w:spacing w:line="360" w:lineRule="auto"/>
        <w:rPr>
          <w:rFonts w:hint="eastAsia" w:ascii="Times New Roman" w:hAnsi="Times New Roman"/>
          <w:szCs w:val="21"/>
        </w:rPr>
      </w:pPr>
      <w:r>
        <w:rPr>
          <w:rFonts w:hint="eastAsia" w:ascii="Times New Roman" w:hAnsi="Times New Roman"/>
          <w:szCs w:val="21"/>
        </w:rPr>
        <w:t>（2）装置的软件检验</w:t>
      </w:r>
    </w:p>
    <w:p w14:paraId="068BEBC2">
      <w:pPr>
        <w:pStyle w:val="31"/>
        <w:spacing w:line="360" w:lineRule="auto"/>
        <w:rPr>
          <w:rFonts w:hint="eastAsia" w:ascii="Times New Roman" w:hAnsi="Times New Roman"/>
          <w:szCs w:val="21"/>
        </w:rPr>
      </w:pPr>
      <w:r>
        <w:rPr>
          <w:rFonts w:hint="eastAsia" w:ascii="Times New Roman" w:hAnsi="Times New Roman"/>
          <w:szCs w:val="21"/>
        </w:rPr>
        <w:t>（3）其他技术协议中有特殊注明的试验。</w:t>
      </w:r>
    </w:p>
    <w:p w14:paraId="2DC100EB">
      <w:pPr>
        <w:pStyle w:val="31"/>
        <w:spacing w:line="360" w:lineRule="auto"/>
        <w:rPr>
          <w:rFonts w:hint="eastAsia" w:ascii="Times New Roman" w:hAnsi="Times New Roman"/>
          <w:szCs w:val="21"/>
        </w:rPr>
      </w:pPr>
      <w:r>
        <w:rPr>
          <w:rFonts w:ascii="Times New Roman" w:hAnsi="Times New Roman"/>
          <w:szCs w:val="21"/>
        </w:rPr>
        <w:t>4.</w:t>
      </w:r>
      <w:r>
        <w:rPr>
          <w:rFonts w:hint="eastAsia" w:ascii="Times New Roman" w:hAnsi="Times New Roman"/>
          <w:szCs w:val="21"/>
          <w:lang w:val="en-US" w:eastAsia="zh-CN"/>
        </w:rPr>
        <w:t>6</w:t>
      </w:r>
      <w:r>
        <w:rPr>
          <w:rFonts w:hint="eastAsia" w:ascii="Times New Roman" w:hAnsi="Times New Roman"/>
          <w:szCs w:val="21"/>
        </w:rPr>
        <w:tab/>
      </w:r>
      <w:r>
        <w:rPr>
          <w:rFonts w:hint="eastAsia" w:ascii="Times New Roman" w:hAnsi="Times New Roman"/>
          <w:szCs w:val="21"/>
        </w:rPr>
        <w:t>整套装置性能验收试验所需的测点、一次元件和仪表、仪器的装设应由投标人提供，参加方配合。投标人也应提供试验所需的技术配合和人员配合。</w:t>
      </w:r>
    </w:p>
    <w:p w14:paraId="724216BF">
      <w:pPr>
        <w:pStyle w:val="31"/>
        <w:spacing w:line="360" w:lineRule="auto"/>
        <w:rPr>
          <w:rFonts w:hint="eastAsia" w:ascii="Times New Roman" w:hAnsi="Times New Roman"/>
          <w:szCs w:val="21"/>
        </w:rPr>
      </w:pPr>
      <w:r>
        <w:rPr>
          <w:rFonts w:ascii="Times New Roman" w:hAnsi="Times New Roman"/>
          <w:szCs w:val="21"/>
        </w:rPr>
        <w:t>4.</w:t>
      </w:r>
      <w:r>
        <w:rPr>
          <w:rFonts w:hint="eastAsia" w:ascii="Times New Roman" w:hAnsi="Times New Roman"/>
          <w:szCs w:val="21"/>
          <w:lang w:val="en-US" w:eastAsia="zh-CN"/>
        </w:rPr>
        <w:t>7</w:t>
      </w:r>
      <w:r>
        <w:rPr>
          <w:rFonts w:hint="eastAsia" w:ascii="Times New Roman" w:hAnsi="Times New Roman"/>
          <w:szCs w:val="21"/>
        </w:rPr>
        <w:tab/>
      </w:r>
      <w:r>
        <w:rPr>
          <w:rFonts w:hint="eastAsia" w:ascii="Times New Roman" w:hAnsi="Times New Roman"/>
          <w:szCs w:val="21"/>
        </w:rPr>
        <w:t>性能验收试验的费用</w:t>
      </w:r>
    </w:p>
    <w:p w14:paraId="4CFCF7A5">
      <w:pPr>
        <w:pStyle w:val="31"/>
        <w:spacing w:line="360" w:lineRule="auto"/>
        <w:rPr>
          <w:rFonts w:hint="eastAsia" w:ascii="Times New Roman" w:hAnsi="Times New Roman"/>
          <w:szCs w:val="21"/>
        </w:rPr>
      </w:pPr>
      <w:r>
        <w:rPr>
          <w:rFonts w:hint="eastAsia" w:ascii="Times New Roman" w:hAnsi="Times New Roman"/>
          <w:szCs w:val="21"/>
        </w:rPr>
        <w:t>本附件第</w:t>
      </w:r>
      <w:r>
        <w:rPr>
          <w:rFonts w:ascii="Times New Roman" w:hAnsi="Times New Roman"/>
          <w:szCs w:val="21"/>
        </w:rPr>
        <w:t>4.7</w:t>
      </w:r>
      <w:r>
        <w:rPr>
          <w:rFonts w:hint="eastAsia" w:ascii="Times New Roman" w:hAnsi="Times New Roman"/>
          <w:szCs w:val="21"/>
        </w:rPr>
        <w:t>条和投标人试验的配合等费用已在合同总价内；在投标人工厂进行，则已包含在合同总价之中。</w:t>
      </w:r>
    </w:p>
    <w:p w14:paraId="2E3CE9F1">
      <w:pPr>
        <w:pStyle w:val="31"/>
        <w:spacing w:line="360" w:lineRule="auto"/>
        <w:rPr>
          <w:rFonts w:hint="eastAsia" w:ascii="Times New Roman" w:hAnsi="Times New Roman"/>
          <w:szCs w:val="21"/>
        </w:rPr>
      </w:pPr>
      <w:r>
        <w:rPr>
          <w:rFonts w:hint="eastAsia" w:ascii="Times New Roman" w:hAnsi="Times New Roman"/>
          <w:szCs w:val="21"/>
        </w:rPr>
        <w:t>4.</w:t>
      </w:r>
      <w:r>
        <w:rPr>
          <w:rFonts w:hint="eastAsia" w:ascii="Times New Roman" w:hAnsi="Times New Roman"/>
          <w:szCs w:val="21"/>
          <w:lang w:val="en-US" w:eastAsia="zh-CN"/>
        </w:rPr>
        <w:t>8</w:t>
      </w:r>
      <w:r>
        <w:rPr>
          <w:rFonts w:hint="eastAsia" w:ascii="Times New Roman" w:hAnsi="Times New Roman"/>
          <w:szCs w:val="21"/>
        </w:rPr>
        <w:t xml:space="preserve">  性能验收试验结果的确认</w:t>
      </w:r>
    </w:p>
    <w:p w14:paraId="4258D8B7">
      <w:pPr>
        <w:pStyle w:val="31"/>
        <w:spacing w:line="360" w:lineRule="auto"/>
        <w:rPr>
          <w:rFonts w:hint="eastAsia" w:ascii="Times New Roman" w:hAnsi="Times New Roman"/>
          <w:szCs w:val="21"/>
        </w:rPr>
      </w:pPr>
      <w:r>
        <w:rPr>
          <w:rFonts w:hint="eastAsia" w:ascii="Times New Roman" w:hAnsi="Times New Roman"/>
          <w:szCs w:val="21"/>
        </w:rPr>
        <w:t xml:space="preserve">    性能验收试验报告以</w:t>
      </w:r>
      <w:r>
        <w:rPr>
          <w:rFonts w:hint="eastAsia" w:ascii="Times New Roman" w:hAnsi="Times New Roman"/>
          <w:szCs w:val="21"/>
          <w:lang w:val="en-US" w:eastAsia="zh-CN"/>
        </w:rPr>
        <w:t>投</w:t>
      </w:r>
      <w:r>
        <w:rPr>
          <w:rFonts w:hint="eastAsia" w:ascii="Times New Roman" w:hAnsi="Times New Roman"/>
          <w:szCs w:val="21"/>
        </w:rPr>
        <w:t>标人为主编写，</w:t>
      </w:r>
      <w:r>
        <w:rPr>
          <w:rFonts w:hint="eastAsia" w:ascii="Times New Roman" w:hAnsi="Times New Roman"/>
          <w:szCs w:val="21"/>
          <w:lang w:val="en-US" w:eastAsia="zh-CN"/>
        </w:rPr>
        <w:t>招</w:t>
      </w:r>
      <w:r>
        <w:rPr>
          <w:rFonts w:hint="eastAsia" w:ascii="Times New Roman" w:hAnsi="Times New Roman"/>
          <w:szCs w:val="21"/>
        </w:rPr>
        <w:t>标人共同签章确认结论。如双方对试验的结果有不一致意见，双方协商解决；如仍不能达成一致，则提交双方上级部门协商。</w:t>
      </w:r>
    </w:p>
    <w:p w14:paraId="128DE40C">
      <w:pPr>
        <w:pStyle w:val="31"/>
        <w:spacing w:line="360" w:lineRule="auto"/>
        <w:ind w:firstLine="420"/>
        <w:rPr>
          <w:rFonts w:hint="eastAsia" w:ascii="Times New Roman" w:hAnsi="Times New Roman"/>
          <w:szCs w:val="21"/>
        </w:rPr>
      </w:pPr>
    </w:p>
    <w:p w14:paraId="34FF1441">
      <w:pPr>
        <w:pStyle w:val="31"/>
        <w:spacing w:line="360" w:lineRule="auto"/>
        <w:rPr>
          <w:rFonts w:hint="eastAsia" w:ascii="Times New Roman" w:hAnsi="Times New Roman"/>
          <w:b/>
          <w:bCs/>
        </w:rPr>
      </w:pPr>
      <w:r>
        <w:rPr>
          <w:rFonts w:ascii="Times New Roman" w:hAnsi="Times New Roman"/>
          <w:b/>
          <w:bCs/>
        </w:rPr>
        <w:br w:type="page"/>
      </w:r>
      <w:r>
        <w:rPr>
          <w:rFonts w:hint="eastAsia" w:ascii="Times New Roman" w:hAnsi="Times New Roman"/>
          <w:b/>
          <w:bCs/>
        </w:rPr>
        <w:t>附件6  技术服务和设计联络</w:t>
      </w:r>
    </w:p>
    <w:p w14:paraId="79215A50">
      <w:pPr>
        <w:pStyle w:val="31"/>
        <w:adjustRightInd w:val="0"/>
        <w:snapToGrid w:val="0"/>
        <w:spacing w:before="240" w:after="120" w:line="360" w:lineRule="auto"/>
        <w:outlineLvl w:val="0"/>
        <w:rPr>
          <w:rFonts w:hint="eastAsia" w:ascii="Times New Roman" w:hAnsi="Times New Roman"/>
          <w:szCs w:val="21"/>
        </w:rPr>
      </w:pPr>
      <w:bookmarkStart w:id="58" w:name="_Toc264037170"/>
      <w:r>
        <w:rPr>
          <w:rFonts w:hint="eastAsia" w:ascii="Times New Roman" w:hAnsi="Times New Roman"/>
          <w:szCs w:val="21"/>
        </w:rPr>
        <w:t>1</w:t>
      </w:r>
      <w:r>
        <w:rPr>
          <w:rFonts w:ascii="Times New Roman" w:hAnsi="Times New Roman"/>
          <w:szCs w:val="21"/>
        </w:rPr>
        <w:t xml:space="preserve">  </w:t>
      </w:r>
      <w:r>
        <w:rPr>
          <w:rFonts w:hint="eastAsia" w:ascii="Times New Roman" w:hAnsi="Times New Roman"/>
          <w:szCs w:val="21"/>
        </w:rPr>
        <w:t>技术服务</w:t>
      </w:r>
      <w:bookmarkEnd w:id="58"/>
    </w:p>
    <w:p w14:paraId="0CDA3DF0">
      <w:pPr>
        <w:pStyle w:val="31"/>
        <w:snapToGrid w:val="0"/>
        <w:spacing w:line="360" w:lineRule="auto"/>
        <w:rPr>
          <w:rFonts w:hint="eastAsia" w:ascii="Times New Roman" w:hAnsi="Times New Roman"/>
          <w:szCs w:val="21"/>
        </w:rPr>
      </w:pPr>
      <w:r>
        <w:rPr>
          <w:rFonts w:hint="eastAsia" w:ascii="Times New Roman" w:hAnsi="Times New Roman"/>
          <w:szCs w:val="21"/>
        </w:rPr>
        <w:t>1.1</w:t>
      </w:r>
      <w:r>
        <w:rPr>
          <w:rFonts w:hint="eastAsia" w:ascii="Times New Roman" w:hAnsi="Times New Roman"/>
          <w:szCs w:val="21"/>
        </w:rPr>
        <w:tab/>
      </w:r>
      <w:r>
        <w:rPr>
          <w:rFonts w:hint="eastAsia" w:ascii="Times New Roman" w:hAnsi="Times New Roman"/>
          <w:szCs w:val="21"/>
        </w:rPr>
        <w:tab/>
      </w:r>
      <w:r>
        <w:rPr>
          <w:rFonts w:hint="eastAsia" w:ascii="Times New Roman" w:hAnsi="Times New Roman"/>
          <w:szCs w:val="21"/>
        </w:rPr>
        <w:t>项目管理</w:t>
      </w:r>
    </w:p>
    <w:p w14:paraId="530C2353">
      <w:pPr>
        <w:pStyle w:val="31"/>
        <w:snapToGrid w:val="0"/>
        <w:spacing w:line="360" w:lineRule="auto"/>
        <w:ind w:firstLine="430"/>
        <w:rPr>
          <w:rFonts w:hint="eastAsia" w:ascii="Times New Roman" w:hAnsi="Times New Roman"/>
          <w:szCs w:val="21"/>
        </w:rPr>
      </w:pPr>
      <w:r>
        <w:rPr>
          <w:rFonts w:hint="eastAsia" w:ascii="Times New Roman" w:hAnsi="Times New Roman"/>
          <w:szCs w:val="21"/>
        </w:rPr>
        <w:t>合同签定后，投标方应指定负责本工程的项目经理，负责协调投标方在工程全过程的各项工作，如工程进度、设计制造、图纸文件、制造确认、包装运输、现场安装、调试验收等。</w:t>
      </w:r>
    </w:p>
    <w:p w14:paraId="7D548BD7">
      <w:pPr>
        <w:pStyle w:val="31"/>
        <w:snapToGrid w:val="0"/>
        <w:spacing w:line="360" w:lineRule="auto"/>
        <w:rPr>
          <w:rFonts w:hint="eastAsia" w:ascii="Times New Roman" w:hAnsi="Times New Roman"/>
          <w:szCs w:val="21"/>
        </w:rPr>
      </w:pPr>
      <w:r>
        <w:rPr>
          <w:rFonts w:hint="eastAsia" w:ascii="Times New Roman" w:hAnsi="Times New Roman"/>
          <w:szCs w:val="21"/>
        </w:rPr>
        <w:t>1.2</w:t>
      </w:r>
      <w:r>
        <w:rPr>
          <w:rFonts w:hint="eastAsia" w:ascii="Times New Roman" w:hAnsi="Times New Roman"/>
          <w:szCs w:val="21"/>
        </w:rPr>
        <w:tab/>
      </w:r>
      <w:r>
        <w:rPr>
          <w:rFonts w:hint="eastAsia" w:ascii="Times New Roman" w:hAnsi="Times New Roman"/>
          <w:szCs w:val="21"/>
        </w:rPr>
        <w:tab/>
      </w:r>
      <w:r>
        <w:rPr>
          <w:rFonts w:hint="eastAsia" w:ascii="Times New Roman" w:hAnsi="Times New Roman"/>
          <w:szCs w:val="21"/>
        </w:rPr>
        <w:t>技术文件</w:t>
      </w:r>
    </w:p>
    <w:p w14:paraId="0836BC50">
      <w:pPr>
        <w:pStyle w:val="31"/>
        <w:snapToGrid w:val="0"/>
        <w:spacing w:line="360" w:lineRule="auto"/>
        <w:rPr>
          <w:rFonts w:hint="eastAsia" w:ascii="Times New Roman" w:hAnsi="Times New Roman"/>
          <w:szCs w:val="21"/>
        </w:rPr>
      </w:pPr>
      <w:r>
        <w:rPr>
          <w:rFonts w:hint="eastAsia" w:ascii="Times New Roman" w:hAnsi="Times New Roman"/>
          <w:szCs w:val="21"/>
        </w:rPr>
        <w:t>1.2.1</w:t>
      </w:r>
      <w:r>
        <w:rPr>
          <w:rFonts w:hint="eastAsia" w:ascii="Times New Roman" w:hAnsi="Times New Roman"/>
          <w:szCs w:val="21"/>
        </w:rPr>
        <w:tab/>
      </w:r>
      <w:r>
        <w:rPr>
          <w:rFonts w:hint="eastAsia" w:ascii="Times New Roman" w:hAnsi="Times New Roman"/>
          <w:szCs w:val="21"/>
        </w:rPr>
        <w:t>投标方在订货前向招标方提供一般性资料如：鉴定证书、报价书、典型说明书、屏布置图、系统原理图和主要技术参数。</w:t>
      </w:r>
    </w:p>
    <w:p w14:paraId="1F32ED01">
      <w:pPr>
        <w:pStyle w:val="31"/>
        <w:snapToGrid w:val="0"/>
        <w:spacing w:line="360" w:lineRule="auto"/>
        <w:rPr>
          <w:rFonts w:hint="eastAsia" w:ascii="Times New Roman" w:hAnsi="Times New Roman"/>
          <w:szCs w:val="21"/>
        </w:rPr>
      </w:pPr>
      <w:r>
        <w:rPr>
          <w:rFonts w:hint="eastAsia" w:ascii="Times New Roman" w:hAnsi="Times New Roman"/>
          <w:szCs w:val="21"/>
        </w:rPr>
        <w:t>1.2.2</w:t>
      </w:r>
      <w:r>
        <w:rPr>
          <w:rFonts w:ascii="Times New Roman" w:hAnsi="Times New Roman"/>
          <w:szCs w:val="21"/>
        </w:rPr>
        <w:tab/>
      </w:r>
      <w:r>
        <w:rPr>
          <w:rFonts w:hint="eastAsia" w:ascii="Times New Roman" w:hAnsi="Times New Roman"/>
          <w:szCs w:val="21"/>
        </w:rPr>
        <w:t>在合同签定时，投标方向招标方提供施工图设计所需资料。</w:t>
      </w:r>
    </w:p>
    <w:p w14:paraId="20C656E1">
      <w:pPr>
        <w:pStyle w:val="31"/>
        <w:snapToGrid w:val="0"/>
        <w:spacing w:line="360" w:lineRule="auto"/>
        <w:rPr>
          <w:rFonts w:hint="eastAsia" w:ascii="Times New Roman" w:hAnsi="Times New Roman"/>
          <w:szCs w:val="21"/>
        </w:rPr>
      </w:pPr>
      <w:r>
        <w:rPr>
          <w:rFonts w:hint="eastAsia" w:ascii="Times New Roman" w:hAnsi="Times New Roman"/>
          <w:szCs w:val="21"/>
        </w:rPr>
        <w:t>1.2.3 设备供货时提供下列资料：设备的开箱资料，除1.2.2所述图纸外还应包括安装、运行、维护、修理说明书、保护整定计算资料、部件清单资料、工厂试验报告、产品合格证等。</w:t>
      </w:r>
    </w:p>
    <w:p w14:paraId="1553F49C">
      <w:pPr>
        <w:pStyle w:val="31"/>
        <w:snapToGrid w:val="0"/>
        <w:spacing w:line="360" w:lineRule="auto"/>
        <w:rPr>
          <w:rFonts w:hint="eastAsia" w:ascii="Times New Roman" w:hAnsi="Times New Roman"/>
          <w:szCs w:val="21"/>
        </w:rPr>
      </w:pPr>
      <w:r>
        <w:rPr>
          <w:rFonts w:hint="eastAsia" w:ascii="Times New Roman" w:hAnsi="Times New Roman"/>
          <w:szCs w:val="21"/>
        </w:rPr>
        <w:t>1.3  投标人现场技术服务</w:t>
      </w:r>
    </w:p>
    <w:p w14:paraId="7AF2C1C8">
      <w:pPr>
        <w:pStyle w:val="31"/>
        <w:spacing w:line="360"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1</w:t>
      </w:r>
      <w:r>
        <w:rPr>
          <w:rFonts w:hint="eastAsia" w:ascii="Times New Roman" w:hAnsi="Times New Roman"/>
          <w:szCs w:val="21"/>
        </w:rPr>
        <w:tab/>
      </w:r>
      <w:r>
        <w:rPr>
          <w:rFonts w:hint="eastAsia" w:ascii="Times New Roman" w:hAnsi="Times New Roman"/>
          <w:szCs w:val="21"/>
        </w:rPr>
        <w:t>投标人现场服务人员的目的是使所供设备安全、正常投运。投标人要派合格的现场服务人员。在投标阶段应提供包括服务人月数的现场服务计划表（格式）。如果此人</w:t>
      </w:r>
      <w:r>
        <w:rPr>
          <w:rFonts w:hint="eastAsia" w:ascii="Times New Roman" w:hAnsi="Times New Roman"/>
          <w:szCs w:val="21"/>
          <w:lang w:val="en-US" w:eastAsia="zh-CN"/>
        </w:rPr>
        <w:t>员</w:t>
      </w:r>
      <w:r>
        <w:rPr>
          <w:rFonts w:hint="eastAsia" w:ascii="Times New Roman" w:hAnsi="Times New Roman"/>
          <w:szCs w:val="21"/>
        </w:rPr>
        <w:t>数不能满足工程需要，投标人要追加人</w:t>
      </w:r>
      <w:r>
        <w:rPr>
          <w:rFonts w:hint="eastAsia" w:ascii="Times New Roman" w:hAnsi="Times New Roman"/>
          <w:szCs w:val="21"/>
          <w:lang w:val="en-US" w:eastAsia="zh-CN"/>
        </w:rPr>
        <w:t>员</w:t>
      </w:r>
      <w:r>
        <w:rPr>
          <w:rFonts w:hint="eastAsia" w:ascii="Times New Roman" w:hAnsi="Times New Roman"/>
          <w:szCs w:val="21"/>
        </w:rPr>
        <w:t>，且不发生费用。</w:t>
      </w:r>
    </w:p>
    <w:p w14:paraId="5CEED647">
      <w:pPr>
        <w:pStyle w:val="31"/>
        <w:spacing w:line="360" w:lineRule="auto"/>
        <w:rPr>
          <w:rFonts w:ascii="Times New Roman" w:hAnsi="Times New Roman"/>
          <w:szCs w:val="21"/>
        </w:rPr>
      </w:pPr>
      <w:bookmarkStart w:id="59" w:name="_Toc59966836"/>
      <w:r>
        <w:rPr>
          <w:rFonts w:hint="eastAsia" w:ascii="Times New Roman" w:hAnsi="Times New Roman"/>
          <w:szCs w:val="21"/>
        </w:rPr>
        <w:t>现场服务计划表（格式）</w:t>
      </w:r>
      <w:bookmarkEnd w:id="59"/>
    </w:p>
    <w:tbl>
      <w:tblPr>
        <w:tblStyle w:val="59"/>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872"/>
        <w:gridCol w:w="1780"/>
        <w:gridCol w:w="2120"/>
        <w:gridCol w:w="920"/>
        <w:gridCol w:w="928"/>
        <w:gridCol w:w="2461"/>
      </w:tblGrid>
      <w:tr w14:paraId="5D2D51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jc w:val="center"/>
        </w:trPr>
        <w:tc>
          <w:tcPr>
            <w:tcW w:w="872" w:type="dxa"/>
            <w:vMerge w:val="restart"/>
            <w:tcBorders>
              <w:top w:val="single" w:color="auto" w:sz="8" w:space="0"/>
              <w:left w:val="single" w:color="auto" w:sz="8" w:space="0"/>
              <w:bottom w:val="nil"/>
            </w:tcBorders>
            <w:noWrap w:val="0"/>
            <w:vAlign w:val="center"/>
          </w:tcPr>
          <w:p w14:paraId="02F0FE51">
            <w:pPr>
              <w:pStyle w:val="31"/>
              <w:spacing w:line="360" w:lineRule="auto"/>
              <w:rPr>
                <w:rFonts w:ascii="Times New Roman" w:hAnsi="Times New Roman"/>
                <w:szCs w:val="21"/>
              </w:rPr>
            </w:pPr>
            <w:r>
              <w:rPr>
                <w:rFonts w:hint="eastAsia" w:ascii="Times New Roman" w:hAnsi="Times New Roman"/>
                <w:szCs w:val="21"/>
              </w:rPr>
              <w:t>序号</w:t>
            </w:r>
          </w:p>
        </w:tc>
        <w:tc>
          <w:tcPr>
            <w:tcW w:w="1780" w:type="dxa"/>
            <w:vMerge w:val="restart"/>
            <w:tcBorders>
              <w:top w:val="single" w:color="auto" w:sz="8" w:space="0"/>
              <w:bottom w:val="nil"/>
            </w:tcBorders>
            <w:noWrap w:val="0"/>
            <w:vAlign w:val="center"/>
          </w:tcPr>
          <w:p w14:paraId="5CC2DDAE">
            <w:pPr>
              <w:pStyle w:val="31"/>
              <w:spacing w:line="360" w:lineRule="auto"/>
              <w:rPr>
                <w:rFonts w:ascii="Times New Roman" w:hAnsi="Times New Roman"/>
                <w:szCs w:val="21"/>
              </w:rPr>
            </w:pPr>
            <w:r>
              <w:rPr>
                <w:rFonts w:hint="eastAsia" w:ascii="Times New Roman" w:hAnsi="Times New Roman"/>
                <w:szCs w:val="21"/>
              </w:rPr>
              <w:t>技术服务内容</w:t>
            </w:r>
          </w:p>
        </w:tc>
        <w:tc>
          <w:tcPr>
            <w:tcW w:w="2120" w:type="dxa"/>
            <w:vMerge w:val="restart"/>
            <w:tcBorders>
              <w:top w:val="single" w:color="auto" w:sz="8" w:space="0"/>
              <w:bottom w:val="nil"/>
            </w:tcBorders>
            <w:noWrap w:val="0"/>
            <w:vAlign w:val="center"/>
          </w:tcPr>
          <w:p w14:paraId="0C9442BC">
            <w:pPr>
              <w:pStyle w:val="31"/>
              <w:spacing w:line="360" w:lineRule="auto"/>
              <w:rPr>
                <w:rFonts w:ascii="Times New Roman" w:hAnsi="Times New Roman"/>
                <w:szCs w:val="21"/>
              </w:rPr>
            </w:pPr>
            <w:r>
              <w:rPr>
                <w:rFonts w:hint="eastAsia" w:ascii="Times New Roman" w:hAnsi="Times New Roman"/>
                <w:szCs w:val="21"/>
              </w:rPr>
              <w:t>计划人月数</w:t>
            </w:r>
          </w:p>
        </w:tc>
        <w:tc>
          <w:tcPr>
            <w:tcW w:w="1848" w:type="dxa"/>
            <w:gridSpan w:val="2"/>
            <w:tcBorders>
              <w:top w:val="single" w:color="auto" w:sz="8" w:space="0"/>
            </w:tcBorders>
            <w:noWrap w:val="0"/>
            <w:vAlign w:val="center"/>
          </w:tcPr>
          <w:p w14:paraId="0AD3F44C">
            <w:pPr>
              <w:pStyle w:val="31"/>
              <w:spacing w:line="360" w:lineRule="auto"/>
              <w:rPr>
                <w:rFonts w:ascii="Times New Roman" w:hAnsi="Times New Roman"/>
                <w:szCs w:val="21"/>
              </w:rPr>
            </w:pPr>
            <w:r>
              <w:rPr>
                <w:rFonts w:hint="eastAsia" w:ascii="Times New Roman" w:hAnsi="Times New Roman"/>
                <w:szCs w:val="21"/>
              </w:rPr>
              <w:t>派出人员构成</w:t>
            </w:r>
          </w:p>
        </w:tc>
        <w:tc>
          <w:tcPr>
            <w:tcW w:w="2461" w:type="dxa"/>
            <w:vMerge w:val="restart"/>
            <w:tcBorders>
              <w:top w:val="single" w:color="auto" w:sz="8" w:space="0"/>
              <w:bottom w:val="nil"/>
              <w:right w:val="single" w:color="auto" w:sz="8" w:space="0"/>
            </w:tcBorders>
            <w:noWrap w:val="0"/>
            <w:vAlign w:val="center"/>
          </w:tcPr>
          <w:p w14:paraId="2949821B">
            <w:pPr>
              <w:pStyle w:val="31"/>
              <w:spacing w:line="360" w:lineRule="auto"/>
              <w:rPr>
                <w:rFonts w:ascii="Times New Roman" w:hAnsi="Times New Roman"/>
                <w:szCs w:val="21"/>
              </w:rPr>
            </w:pPr>
            <w:r>
              <w:rPr>
                <w:rFonts w:hint="eastAsia" w:ascii="Times New Roman" w:hAnsi="Times New Roman"/>
                <w:szCs w:val="21"/>
              </w:rPr>
              <w:t>备</w:t>
            </w:r>
            <w:r>
              <w:rPr>
                <w:rFonts w:ascii="Times New Roman" w:hAnsi="Times New Roman"/>
                <w:szCs w:val="21"/>
              </w:rPr>
              <w:t xml:space="preserve">    </w:t>
            </w:r>
            <w:r>
              <w:rPr>
                <w:rFonts w:hint="eastAsia" w:ascii="Times New Roman" w:hAnsi="Times New Roman"/>
                <w:szCs w:val="21"/>
              </w:rPr>
              <w:t>注</w:t>
            </w:r>
          </w:p>
        </w:tc>
      </w:tr>
      <w:tr w14:paraId="5462947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jc w:val="center"/>
        </w:trPr>
        <w:tc>
          <w:tcPr>
            <w:tcW w:w="872" w:type="dxa"/>
            <w:vMerge w:val="continue"/>
            <w:tcBorders>
              <w:top w:val="nil"/>
              <w:left w:val="single" w:color="auto" w:sz="8" w:space="0"/>
            </w:tcBorders>
            <w:noWrap w:val="0"/>
            <w:vAlign w:val="center"/>
          </w:tcPr>
          <w:p w14:paraId="0ACCC90A">
            <w:pPr>
              <w:pStyle w:val="31"/>
              <w:spacing w:line="360" w:lineRule="auto"/>
              <w:rPr>
                <w:rFonts w:ascii="Times New Roman" w:hAnsi="Times New Roman"/>
                <w:szCs w:val="21"/>
              </w:rPr>
            </w:pPr>
          </w:p>
        </w:tc>
        <w:tc>
          <w:tcPr>
            <w:tcW w:w="1780" w:type="dxa"/>
            <w:vMerge w:val="continue"/>
            <w:tcBorders>
              <w:top w:val="nil"/>
            </w:tcBorders>
            <w:noWrap w:val="0"/>
            <w:vAlign w:val="center"/>
          </w:tcPr>
          <w:p w14:paraId="516279F3">
            <w:pPr>
              <w:pStyle w:val="31"/>
              <w:spacing w:line="360" w:lineRule="auto"/>
              <w:rPr>
                <w:rFonts w:ascii="Times New Roman" w:hAnsi="Times New Roman"/>
                <w:szCs w:val="21"/>
              </w:rPr>
            </w:pPr>
          </w:p>
        </w:tc>
        <w:tc>
          <w:tcPr>
            <w:tcW w:w="2120" w:type="dxa"/>
            <w:vMerge w:val="continue"/>
            <w:tcBorders>
              <w:top w:val="nil"/>
            </w:tcBorders>
            <w:noWrap w:val="0"/>
            <w:vAlign w:val="center"/>
          </w:tcPr>
          <w:p w14:paraId="7C1814F2">
            <w:pPr>
              <w:pStyle w:val="31"/>
              <w:spacing w:line="360" w:lineRule="auto"/>
              <w:rPr>
                <w:rFonts w:ascii="Times New Roman" w:hAnsi="Times New Roman"/>
                <w:szCs w:val="21"/>
              </w:rPr>
            </w:pPr>
          </w:p>
        </w:tc>
        <w:tc>
          <w:tcPr>
            <w:tcW w:w="920" w:type="dxa"/>
            <w:noWrap w:val="0"/>
            <w:vAlign w:val="center"/>
          </w:tcPr>
          <w:p w14:paraId="58478522">
            <w:pPr>
              <w:pStyle w:val="31"/>
              <w:spacing w:line="360" w:lineRule="auto"/>
              <w:rPr>
                <w:rFonts w:ascii="Times New Roman" w:hAnsi="Times New Roman"/>
                <w:szCs w:val="21"/>
              </w:rPr>
            </w:pPr>
            <w:r>
              <w:rPr>
                <w:rFonts w:hint="eastAsia" w:ascii="Times New Roman" w:hAnsi="Times New Roman"/>
                <w:szCs w:val="21"/>
              </w:rPr>
              <w:t>职称</w:t>
            </w:r>
          </w:p>
        </w:tc>
        <w:tc>
          <w:tcPr>
            <w:tcW w:w="928" w:type="dxa"/>
            <w:tcBorders>
              <w:top w:val="nil"/>
            </w:tcBorders>
            <w:noWrap w:val="0"/>
            <w:vAlign w:val="center"/>
          </w:tcPr>
          <w:p w14:paraId="04F0AB74">
            <w:pPr>
              <w:pStyle w:val="31"/>
              <w:spacing w:line="360" w:lineRule="auto"/>
              <w:rPr>
                <w:rFonts w:ascii="Times New Roman" w:hAnsi="Times New Roman"/>
                <w:szCs w:val="21"/>
              </w:rPr>
            </w:pPr>
            <w:r>
              <w:rPr>
                <w:rFonts w:hint="eastAsia" w:ascii="Times New Roman" w:hAnsi="Times New Roman"/>
                <w:szCs w:val="21"/>
              </w:rPr>
              <w:t>人数</w:t>
            </w:r>
          </w:p>
        </w:tc>
        <w:tc>
          <w:tcPr>
            <w:tcW w:w="2461" w:type="dxa"/>
            <w:vMerge w:val="continue"/>
            <w:tcBorders>
              <w:top w:val="nil"/>
              <w:right w:val="single" w:color="auto" w:sz="8" w:space="0"/>
            </w:tcBorders>
            <w:noWrap w:val="0"/>
            <w:vAlign w:val="center"/>
          </w:tcPr>
          <w:p w14:paraId="2AAB03A8">
            <w:pPr>
              <w:pStyle w:val="31"/>
              <w:spacing w:line="360" w:lineRule="auto"/>
              <w:rPr>
                <w:rFonts w:ascii="Times New Roman" w:hAnsi="Times New Roman"/>
                <w:szCs w:val="21"/>
              </w:rPr>
            </w:pPr>
          </w:p>
        </w:tc>
      </w:tr>
      <w:tr w14:paraId="4F6AC8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jc w:val="center"/>
        </w:trPr>
        <w:tc>
          <w:tcPr>
            <w:tcW w:w="872" w:type="dxa"/>
            <w:tcBorders>
              <w:left w:val="single" w:color="auto" w:sz="8" w:space="0"/>
            </w:tcBorders>
            <w:noWrap w:val="0"/>
            <w:vAlign w:val="center"/>
          </w:tcPr>
          <w:p w14:paraId="66FBA4CF">
            <w:pPr>
              <w:pStyle w:val="31"/>
              <w:spacing w:line="360" w:lineRule="auto"/>
              <w:rPr>
                <w:rFonts w:ascii="Times New Roman" w:hAnsi="Times New Roman"/>
                <w:szCs w:val="21"/>
              </w:rPr>
            </w:pPr>
          </w:p>
        </w:tc>
        <w:tc>
          <w:tcPr>
            <w:tcW w:w="1780" w:type="dxa"/>
            <w:noWrap w:val="0"/>
            <w:vAlign w:val="center"/>
          </w:tcPr>
          <w:p w14:paraId="468F9053">
            <w:pPr>
              <w:pStyle w:val="31"/>
              <w:spacing w:line="360" w:lineRule="auto"/>
              <w:rPr>
                <w:rFonts w:ascii="Times New Roman" w:hAnsi="Times New Roman"/>
                <w:szCs w:val="21"/>
              </w:rPr>
            </w:pPr>
          </w:p>
        </w:tc>
        <w:tc>
          <w:tcPr>
            <w:tcW w:w="2120" w:type="dxa"/>
            <w:noWrap w:val="0"/>
            <w:vAlign w:val="center"/>
          </w:tcPr>
          <w:p w14:paraId="629D2D3D">
            <w:pPr>
              <w:pStyle w:val="31"/>
              <w:spacing w:line="360" w:lineRule="auto"/>
              <w:rPr>
                <w:rFonts w:ascii="Times New Roman" w:hAnsi="Times New Roman"/>
                <w:szCs w:val="21"/>
              </w:rPr>
            </w:pPr>
          </w:p>
        </w:tc>
        <w:tc>
          <w:tcPr>
            <w:tcW w:w="920" w:type="dxa"/>
            <w:noWrap w:val="0"/>
            <w:vAlign w:val="center"/>
          </w:tcPr>
          <w:p w14:paraId="4CD6A7D9">
            <w:pPr>
              <w:pStyle w:val="31"/>
              <w:spacing w:line="360" w:lineRule="auto"/>
              <w:rPr>
                <w:rFonts w:ascii="Times New Roman" w:hAnsi="Times New Roman"/>
                <w:szCs w:val="21"/>
              </w:rPr>
            </w:pPr>
          </w:p>
        </w:tc>
        <w:tc>
          <w:tcPr>
            <w:tcW w:w="928" w:type="dxa"/>
            <w:noWrap w:val="0"/>
            <w:vAlign w:val="center"/>
          </w:tcPr>
          <w:p w14:paraId="14CA5DB0">
            <w:pPr>
              <w:pStyle w:val="31"/>
              <w:spacing w:line="360" w:lineRule="auto"/>
              <w:rPr>
                <w:rFonts w:ascii="Times New Roman" w:hAnsi="Times New Roman"/>
                <w:szCs w:val="21"/>
              </w:rPr>
            </w:pPr>
          </w:p>
        </w:tc>
        <w:tc>
          <w:tcPr>
            <w:tcW w:w="2461" w:type="dxa"/>
            <w:tcBorders>
              <w:right w:val="single" w:color="auto" w:sz="8" w:space="0"/>
            </w:tcBorders>
            <w:noWrap w:val="0"/>
            <w:vAlign w:val="center"/>
          </w:tcPr>
          <w:p w14:paraId="0FD48333">
            <w:pPr>
              <w:pStyle w:val="31"/>
              <w:spacing w:line="360" w:lineRule="auto"/>
              <w:rPr>
                <w:rFonts w:ascii="Times New Roman" w:hAnsi="Times New Roman"/>
                <w:szCs w:val="21"/>
              </w:rPr>
            </w:pPr>
          </w:p>
        </w:tc>
      </w:tr>
      <w:tr w14:paraId="6407F3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jc w:val="center"/>
        </w:trPr>
        <w:tc>
          <w:tcPr>
            <w:tcW w:w="872" w:type="dxa"/>
            <w:tcBorders>
              <w:left w:val="single" w:color="auto" w:sz="8" w:space="0"/>
            </w:tcBorders>
            <w:noWrap w:val="0"/>
            <w:vAlign w:val="center"/>
          </w:tcPr>
          <w:p w14:paraId="31192F75">
            <w:pPr>
              <w:pStyle w:val="31"/>
              <w:spacing w:line="360" w:lineRule="auto"/>
              <w:rPr>
                <w:rFonts w:ascii="Times New Roman" w:hAnsi="Times New Roman"/>
                <w:szCs w:val="21"/>
              </w:rPr>
            </w:pPr>
          </w:p>
        </w:tc>
        <w:tc>
          <w:tcPr>
            <w:tcW w:w="1780" w:type="dxa"/>
            <w:noWrap w:val="0"/>
            <w:vAlign w:val="center"/>
          </w:tcPr>
          <w:p w14:paraId="6994EBBE">
            <w:pPr>
              <w:pStyle w:val="31"/>
              <w:spacing w:line="360" w:lineRule="auto"/>
              <w:rPr>
                <w:rFonts w:ascii="Times New Roman" w:hAnsi="Times New Roman"/>
                <w:szCs w:val="21"/>
              </w:rPr>
            </w:pPr>
          </w:p>
        </w:tc>
        <w:tc>
          <w:tcPr>
            <w:tcW w:w="2120" w:type="dxa"/>
            <w:noWrap w:val="0"/>
            <w:vAlign w:val="center"/>
          </w:tcPr>
          <w:p w14:paraId="3CC7CDB4">
            <w:pPr>
              <w:pStyle w:val="31"/>
              <w:spacing w:line="360" w:lineRule="auto"/>
              <w:rPr>
                <w:rFonts w:ascii="Times New Roman" w:hAnsi="Times New Roman"/>
                <w:szCs w:val="21"/>
              </w:rPr>
            </w:pPr>
          </w:p>
        </w:tc>
        <w:tc>
          <w:tcPr>
            <w:tcW w:w="920" w:type="dxa"/>
            <w:noWrap w:val="0"/>
            <w:vAlign w:val="center"/>
          </w:tcPr>
          <w:p w14:paraId="48365F41">
            <w:pPr>
              <w:pStyle w:val="31"/>
              <w:spacing w:line="360" w:lineRule="auto"/>
              <w:rPr>
                <w:rFonts w:ascii="Times New Roman" w:hAnsi="Times New Roman"/>
                <w:szCs w:val="21"/>
              </w:rPr>
            </w:pPr>
          </w:p>
        </w:tc>
        <w:tc>
          <w:tcPr>
            <w:tcW w:w="928" w:type="dxa"/>
            <w:noWrap w:val="0"/>
            <w:vAlign w:val="center"/>
          </w:tcPr>
          <w:p w14:paraId="02B7E040">
            <w:pPr>
              <w:pStyle w:val="31"/>
              <w:spacing w:line="360" w:lineRule="auto"/>
              <w:rPr>
                <w:rFonts w:ascii="Times New Roman" w:hAnsi="Times New Roman"/>
                <w:szCs w:val="21"/>
              </w:rPr>
            </w:pPr>
          </w:p>
        </w:tc>
        <w:tc>
          <w:tcPr>
            <w:tcW w:w="2461" w:type="dxa"/>
            <w:tcBorders>
              <w:right w:val="single" w:color="auto" w:sz="8" w:space="0"/>
            </w:tcBorders>
            <w:noWrap w:val="0"/>
            <w:vAlign w:val="center"/>
          </w:tcPr>
          <w:p w14:paraId="4C39AFFF">
            <w:pPr>
              <w:pStyle w:val="31"/>
              <w:spacing w:line="360" w:lineRule="auto"/>
              <w:rPr>
                <w:rFonts w:ascii="Times New Roman" w:hAnsi="Times New Roman"/>
                <w:szCs w:val="21"/>
              </w:rPr>
            </w:pPr>
          </w:p>
        </w:tc>
      </w:tr>
      <w:tr w14:paraId="43AF46C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jc w:val="center"/>
        </w:trPr>
        <w:tc>
          <w:tcPr>
            <w:tcW w:w="872" w:type="dxa"/>
            <w:tcBorders>
              <w:left w:val="single" w:color="auto" w:sz="8" w:space="0"/>
            </w:tcBorders>
            <w:noWrap w:val="0"/>
            <w:vAlign w:val="center"/>
          </w:tcPr>
          <w:p w14:paraId="3250D157">
            <w:pPr>
              <w:pStyle w:val="31"/>
              <w:spacing w:line="360" w:lineRule="auto"/>
              <w:rPr>
                <w:rFonts w:ascii="Times New Roman" w:hAnsi="Times New Roman"/>
                <w:szCs w:val="21"/>
              </w:rPr>
            </w:pPr>
          </w:p>
        </w:tc>
        <w:tc>
          <w:tcPr>
            <w:tcW w:w="1780" w:type="dxa"/>
            <w:noWrap w:val="0"/>
            <w:vAlign w:val="center"/>
          </w:tcPr>
          <w:p w14:paraId="0F8B91E5">
            <w:pPr>
              <w:pStyle w:val="31"/>
              <w:spacing w:line="360" w:lineRule="auto"/>
              <w:rPr>
                <w:rFonts w:ascii="Times New Roman" w:hAnsi="Times New Roman"/>
                <w:szCs w:val="21"/>
              </w:rPr>
            </w:pPr>
          </w:p>
        </w:tc>
        <w:tc>
          <w:tcPr>
            <w:tcW w:w="2120" w:type="dxa"/>
            <w:noWrap w:val="0"/>
            <w:vAlign w:val="center"/>
          </w:tcPr>
          <w:p w14:paraId="08AC0EB6">
            <w:pPr>
              <w:pStyle w:val="31"/>
              <w:spacing w:line="360" w:lineRule="auto"/>
              <w:rPr>
                <w:rFonts w:ascii="Times New Roman" w:hAnsi="Times New Roman"/>
                <w:szCs w:val="21"/>
              </w:rPr>
            </w:pPr>
          </w:p>
        </w:tc>
        <w:tc>
          <w:tcPr>
            <w:tcW w:w="920" w:type="dxa"/>
            <w:noWrap w:val="0"/>
            <w:vAlign w:val="center"/>
          </w:tcPr>
          <w:p w14:paraId="2C096FE8">
            <w:pPr>
              <w:pStyle w:val="31"/>
              <w:spacing w:line="360" w:lineRule="auto"/>
              <w:rPr>
                <w:rFonts w:ascii="Times New Roman" w:hAnsi="Times New Roman"/>
                <w:szCs w:val="21"/>
              </w:rPr>
            </w:pPr>
          </w:p>
        </w:tc>
        <w:tc>
          <w:tcPr>
            <w:tcW w:w="928" w:type="dxa"/>
            <w:noWrap w:val="0"/>
            <w:vAlign w:val="center"/>
          </w:tcPr>
          <w:p w14:paraId="6255A770">
            <w:pPr>
              <w:pStyle w:val="31"/>
              <w:spacing w:line="360" w:lineRule="auto"/>
              <w:rPr>
                <w:rFonts w:ascii="Times New Roman" w:hAnsi="Times New Roman"/>
                <w:szCs w:val="21"/>
              </w:rPr>
            </w:pPr>
          </w:p>
        </w:tc>
        <w:tc>
          <w:tcPr>
            <w:tcW w:w="2461" w:type="dxa"/>
            <w:tcBorders>
              <w:right w:val="single" w:color="auto" w:sz="8" w:space="0"/>
            </w:tcBorders>
            <w:noWrap w:val="0"/>
            <w:vAlign w:val="center"/>
          </w:tcPr>
          <w:p w14:paraId="7B84A306">
            <w:pPr>
              <w:pStyle w:val="31"/>
              <w:spacing w:line="360" w:lineRule="auto"/>
              <w:rPr>
                <w:rFonts w:ascii="Times New Roman" w:hAnsi="Times New Roman"/>
                <w:szCs w:val="21"/>
              </w:rPr>
            </w:pPr>
          </w:p>
        </w:tc>
      </w:tr>
      <w:tr w14:paraId="3CD446D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jc w:val="center"/>
        </w:trPr>
        <w:tc>
          <w:tcPr>
            <w:tcW w:w="872" w:type="dxa"/>
            <w:tcBorders>
              <w:left w:val="single" w:color="auto" w:sz="8" w:space="0"/>
            </w:tcBorders>
            <w:noWrap w:val="0"/>
            <w:vAlign w:val="center"/>
          </w:tcPr>
          <w:p w14:paraId="60411DD8">
            <w:pPr>
              <w:pStyle w:val="31"/>
              <w:spacing w:line="360" w:lineRule="auto"/>
              <w:rPr>
                <w:rFonts w:ascii="Times New Roman" w:hAnsi="Times New Roman"/>
                <w:szCs w:val="21"/>
              </w:rPr>
            </w:pPr>
          </w:p>
        </w:tc>
        <w:tc>
          <w:tcPr>
            <w:tcW w:w="1780" w:type="dxa"/>
            <w:noWrap w:val="0"/>
            <w:vAlign w:val="center"/>
          </w:tcPr>
          <w:p w14:paraId="17CC46EB">
            <w:pPr>
              <w:pStyle w:val="31"/>
              <w:spacing w:line="360" w:lineRule="auto"/>
              <w:rPr>
                <w:rFonts w:ascii="Times New Roman" w:hAnsi="Times New Roman"/>
                <w:szCs w:val="21"/>
              </w:rPr>
            </w:pPr>
          </w:p>
        </w:tc>
        <w:tc>
          <w:tcPr>
            <w:tcW w:w="2120" w:type="dxa"/>
            <w:noWrap w:val="0"/>
            <w:vAlign w:val="center"/>
          </w:tcPr>
          <w:p w14:paraId="4E82AF7D">
            <w:pPr>
              <w:pStyle w:val="31"/>
              <w:spacing w:line="360" w:lineRule="auto"/>
              <w:rPr>
                <w:rFonts w:ascii="Times New Roman" w:hAnsi="Times New Roman"/>
                <w:szCs w:val="21"/>
              </w:rPr>
            </w:pPr>
          </w:p>
        </w:tc>
        <w:tc>
          <w:tcPr>
            <w:tcW w:w="920" w:type="dxa"/>
            <w:noWrap w:val="0"/>
            <w:vAlign w:val="center"/>
          </w:tcPr>
          <w:p w14:paraId="431AEE41">
            <w:pPr>
              <w:pStyle w:val="31"/>
              <w:spacing w:line="360" w:lineRule="auto"/>
              <w:rPr>
                <w:rFonts w:ascii="Times New Roman" w:hAnsi="Times New Roman"/>
                <w:szCs w:val="21"/>
              </w:rPr>
            </w:pPr>
          </w:p>
        </w:tc>
        <w:tc>
          <w:tcPr>
            <w:tcW w:w="928" w:type="dxa"/>
            <w:noWrap w:val="0"/>
            <w:vAlign w:val="center"/>
          </w:tcPr>
          <w:p w14:paraId="63954F0F">
            <w:pPr>
              <w:pStyle w:val="31"/>
              <w:spacing w:line="360" w:lineRule="auto"/>
              <w:rPr>
                <w:rFonts w:ascii="Times New Roman" w:hAnsi="Times New Roman"/>
                <w:szCs w:val="21"/>
              </w:rPr>
            </w:pPr>
          </w:p>
        </w:tc>
        <w:tc>
          <w:tcPr>
            <w:tcW w:w="2461" w:type="dxa"/>
            <w:tcBorders>
              <w:right w:val="single" w:color="auto" w:sz="8" w:space="0"/>
            </w:tcBorders>
            <w:noWrap w:val="0"/>
            <w:vAlign w:val="center"/>
          </w:tcPr>
          <w:p w14:paraId="74025D6C">
            <w:pPr>
              <w:pStyle w:val="31"/>
              <w:spacing w:line="360" w:lineRule="auto"/>
              <w:rPr>
                <w:rFonts w:ascii="Times New Roman" w:hAnsi="Times New Roman"/>
                <w:szCs w:val="21"/>
              </w:rPr>
            </w:pPr>
          </w:p>
        </w:tc>
      </w:tr>
      <w:tr w14:paraId="2690A9B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jc w:val="center"/>
        </w:trPr>
        <w:tc>
          <w:tcPr>
            <w:tcW w:w="872" w:type="dxa"/>
            <w:tcBorders>
              <w:left w:val="single" w:color="auto" w:sz="8" w:space="0"/>
              <w:bottom w:val="single" w:color="auto" w:sz="8" w:space="0"/>
            </w:tcBorders>
            <w:noWrap w:val="0"/>
            <w:vAlign w:val="center"/>
          </w:tcPr>
          <w:p w14:paraId="5A591CAB">
            <w:pPr>
              <w:pStyle w:val="31"/>
              <w:spacing w:line="360" w:lineRule="auto"/>
              <w:rPr>
                <w:rFonts w:ascii="Times New Roman" w:hAnsi="Times New Roman"/>
                <w:szCs w:val="21"/>
              </w:rPr>
            </w:pPr>
          </w:p>
        </w:tc>
        <w:tc>
          <w:tcPr>
            <w:tcW w:w="1780" w:type="dxa"/>
            <w:tcBorders>
              <w:bottom w:val="single" w:color="auto" w:sz="8" w:space="0"/>
            </w:tcBorders>
            <w:noWrap w:val="0"/>
            <w:vAlign w:val="center"/>
          </w:tcPr>
          <w:p w14:paraId="3070C045">
            <w:pPr>
              <w:pStyle w:val="31"/>
              <w:spacing w:line="360" w:lineRule="auto"/>
              <w:rPr>
                <w:rFonts w:ascii="Times New Roman" w:hAnsi="Times New Roman"/>
                <w:szCs w:val="21"/>
              </w:rPr>
            </w:pPr>
          </w:p>
        </w:tc>
        <w:tc>
          <w:tcPr>
            <w:tcW w:w="2120" w:type="dxa"/>
            <w:tcBorders>
              <w:bottom w:val="single" w:color="auto" w:sz="8" w:space="0"/>
            </w:tcBorders>
            <w:noWrap w:val="0"/>
            <w:vAlign w:val="center"/>
          </w:tcPr>
          <w:p w14:paraId="1C630E1A">
            <w:pPr>
              <w:pStyle w:val="31"/>
              <w:spacing w:line="360" w:lineRule="auto"/>
              <w:rPr>
                <w:rFonts w:ascii="Times New Roman" w:hAnsi="Times New Roman"/>
                <w:szCs w:val="21"/>
              </w:rPr>
            </w:pPr>
          </w:p>
        </w:tc>
        <w:tc>
          <w:tcPr>
            <w:tcW w:w="920" w:type="dxa"/>
            <w:tcBorders>
              <w:bottom w:val="single" w:color="auto" w:sz="8" w:space="0"/>
            </w:tcBorders>
            <w:noWrap w:val="0"/>
            <w:vAlign w:val="center"/>
          </w:tcPr>
          <w:p w14:paraId="216EA05B">
            <w:pPr>
              <w:pStyle w:val="31"/>
              <w:spacing w:line="360" w:lineRule="auto"/>
              <w:rPr>
                <w:rFonts w:ascii="Times New Roman" w:hAnsi="Times New Roman"/>
                <w:szCs w:val="21"/>
              </w:rPr>
            </w:pPr>
          </w:p>
        </w:tc>
        <w:tc>
          <w:tcPr>
            <w:tcW w:w="928" w:type="dxa"/>
            <w:tcBorders>
              <w:bottom w:val="single" w:color="auto" w:sz="8" w:space="0"/>
            </w:tcBorders>
            <w:noWrap w:val="0"/>
            <w:vAlign w:val="center"/>
          </w:tcPr>
          <w:p w14:paraId="2C44B00A">
            <w:pPr>
              <w:pStyle w:val="31"/>
              <w:spacing w:line="360" w:lineRule="auto"/>
              <w:rPr>
                <w:rFonts w:ascii="Times New Roman" w:hAnsi="Times New Roman"/>
                <w:szCs w:val="21"/>
              </w:rPr>
            </w:pPr>
          </w:p>
        </w:tc>
        <w:tc>
          <w:tcPr>
            <w:tcW w:w="2461" w:type="dxa"/>
            <w:tcBorders>
              <w:bottom w:val="single" w:color="auto" w:sz="8" w:space="0"/>
              <w:right w:val="single" w:color="auto" w:sz="8" w:space="0"/>
            </w:tcBorders>
            <w:noWrap w:val="0"/>
            <w:vAlign w:val="center"/>
          </w:tcPr>
          <w:p w14:paraId="6D18FA9E">
            <w:pPr>
              <w:pStyle w:val="31"/>
              <w:spacing w:line="360" w:lineRule="auto"/>
              <w:rPr>
                <w:rFonts w:ascii="Times New Roman" w:hAnsi="Times New Roman"/>
                <w:szCs w:val="21"/>
              </w:rPr>
            </w:pPr>
          </w:p>
        </w:tc>
      </w:tr>
    </w:tbl>
    <w:p w14:paraId="71A13417">
      <w:pPr>
        <w:pStyle w:val="31"/>
        <w:spacing w:line="360" w:lineRule="auto"/>
        <w:rPr>
          <w:rFonts w:ascii="Times New Roman" w:hAnsi="Times New Roman"/>
          <w:szCs w:val="21"/>
        </w:rPr>
      </w:pPr>
      <w:r>
        <w:rPr>
          <w:rFonts w:ascii="Times New Roman" w:hAnsi="Times New Roman"/>
          <w:szCs w:val="21"/>
        </w:rPr>
        <w:t>1.3</w:t>
      </w:r>
      <w:r>
        <w:rPr>
          <w:rFonts w:hint="eastAsia" w:ascii="Times New Roman" w:hAnsi="Times New Roman"/>
          <w:szCs w:val="21"/>
        </w:rPr>
        <w:t>.2</w:t>
      </w:r>
      <w:r>
        <w:rPr>
          <w:rFonts w:hint="eastAsia" w:ascii="Times New Roman" w:hAnsi="Times New Roman"/>
          <w:szCs w:val="21"/>
        </w:rPr>
        <w:tab/>
      </w:r>
      <w:r>
        <w:rPr>
          <w:rFonts w:hint="eastAsia" w:ascii="Times New Roman" w:hAnsi="Times New Roman"/>
          <w:szCs w:val="21"/>
        </w:rPr>
        <w:t>投标人现场服务人员应具有下列资质：</w:t>
      </w:r>
    </w:p>
    <w:p w14:paraId="38D564A2">
      <w:pPr>
        <w:pStyle w:val="31"/>
        <w:spacing w:line="360" w:lineRule="auto"/>
        <w:rPr>
          <w:rFonts w:ascii="Times New Roman" w:hAnsi="Times New Roman"/>
          <w:szCs w:val="21"/>
        </w:rPr>
      </w:pPr>
      <w:r>
        <w:rPr>
          <w:rFonts w:ascii="Times New Roman" w:hAnsi="Times New Roman"/>
          <w:szCs w:val="21"/>
        </w:rPr>
        <w:t>1.3.</w:t>
      </w:r>
      <w:r>
        <w:rPr>
          <w:rFonts w:hint="eastAsia" w:ascii="Times New Roman" w:hAnsi="Times New Roman"/>
          <w:szCs w:val="21"/>
        </w:rPr>
        <w:t>2.</w:t>
      </w:r>
      <w:r>
        <w:rPr>
          <w:rFonts w:ascii="Times New Roman" w:hAnsi="Times New Roman"/>
          <w:szCs w:val="21"/>
        </w:rPr>
        <w:t>1</w:t>
      </w:r>
      <w:r>
        <w:rPr>
          <w:rFonts w:hint="eastAsia" w:ascii="Times New Roman" w:hAnsi="Times New Roman"/>
          <w:szCs w:val="21"/>
        </w:rPr>
        <w:tab/>
      </w:r>
      <w:r>
        <w:rPr>
          <w:rFonts w:hint="eastAsia" w:ascii="Times New Roman" w:hAnsi="Times New Roman"/>
          <w:szCs w:val="21"/>
        </w:rPr>
        <w:t>遵守法纪，遵守现场的各项规章和制度。</w:t>
      </w:r>
    </w:p>
    <w:p w14:paraId="09C8EFB4">
      <w:pPr>
        <w:pStyle w:val="31"/>
        <w:spacing w:line="360" w:lineRule="auto"/>
        <w:rPr>
          <w:rFonts w:ascii="Times New Roman" w:hAnsi="Times New Roman"/>
          <w:szCs w:val="21"/>
        </w:rPr>
      </w:pPr>
      <w:r>
        <w:rPr>
          <w:rFonts w:ascii="Times New Roman" w:hAnsi="Times New Roman"/>
          <w:szCs w:val="21"/>
        </w:rPr>
        <w:t>1.3.2</w:t>
      </w:r>
      <w:r>
        <w:rPr>
          <w:rFonts w:hint="eastAsia" w:ascii="Times New Roman" w:hAnsi="Times New Roman"/>
          <w:szCs w:val="21"/>
        </w:rPr>
        <w:t>.2有较强的责任感和事业心，按时到位。</w:t>
      </w:r>
    </w:p>
    <w:p w14:paraId="022E6CD7">
      <w:pPr>
        <w:pStyle w:val="31"/>
        <w:spacing w:line="360" w:lineRule="auto"/>
        <w:rPr>
          <w:rFonts w:ascii="Times New Roman" w:hAnsi="Times New Roman"/>
          <w:szCs w:val="21"/>
        </w:rPr>
      </w:pPr>
      <w:r>
        <w:rPr>
          <w:rFonts w:ascii="Times New Roman" w:hAnsi="Times New Roman"/>
          <w:szCs w:val="21"/>
        </w:rPr>
        <w:t>1.3.</w:t>
      </w:r>
      <w:r>
        <w:rPr>
          <w:rFonts w:hint="eastAsia" w:ascii="Times New Roman" w:hAnsi="Times New Roman"/>
          <w:szCs w:val="21"/>
        </w:rPr>
        <w:t>2.</w:t>
      </w:r>
      <w:r>
        <w:rPr>
          <w:rFonts w:ascii="Times New Roman" w:hAnsi="Times New Roman"/>
          <w:szCs w:val="21"/>
        </w:rPr>
        <w:t>3</w:t>
      </w:r>
      <w:r>
        <w:rPr>
          <w:rFonts w:hint="eastAsia" w:ascii="Times New Roman" w:hAnsi="Times New Roman"/>
          <w:szCs w:val="21"/>
        </w:rPr>
        <w:tab/>
      </w:r>
      <w:r>
        <w:rPr>
          <w:rFonts w:hint="eastAsia" w:ascii="Times New Roman" w:hAnsi="Times New Roman"/>
          <w:szCs w:val="21"/>
        </w:rPr>
        <w:t>了解合同设备的设计，熟悉其结构，有相同或相近设备的现场工作经验，能够正确地进行现场指导。</w:t>
      </w:r>
    </w:p>
    <w:p w14:paraId="6471E5D8">
      <w:pPr>
        <w:pStyle w:val="31"/>
        <w:spacing w:line="360" w:lineRule="auto"/>
        <w:rPr>
          <w:rFonts w:ascii="Times New Roman" w:hAnsi="Times New Roman"/>
          <w:szCs w:val="21"/>
        </w:rPr>
      </w:pPr>
      <w:r>
        <w:rPr>
          <w:rFonts w:ascii="Times New Roman" w:hAnsi="Times New Roman"/>
          <w:szCs w:val="21"/>
        </w:rPr>
        <w:t>1.3.</w:t>
      </w:r>
      <w:r>
        <w:rPr>
          <w:rFonts w:hint="eastAsia" w:ascii="Times New Roman" w:hAnsi="Times New Roman"/>
          <w:szCs w:val="21"/>
        </w:rPr>
        <w:t>2.</w:t>
      </w:r>
      <w:r>
        <w:rPr>
          <w:rFonts w:ascii="Times New Roman" w:hAnsi="Times New Roman"/>
          <w:szCs w:val="21"/>
        </w:rPr>
        <w:t>4</w:t>
      </w:r>
      <w:r>
        <w:rPr>
          <w:rFonts w:hint="eastAsia" w:ascii="Times New Roman" w:hAnsi="Times New Roman"/>
          <w:szCs w:val="21"/>
        </w:rPr>
        <w:tab/>
      </w:r>
      <w:r>
        <w:rPr>
          <w:rFonts w:hint="eastAsia" w:ascii="Times New Roman" w:hAnsi="Times New Roman"/>
          <w:szCs w:val="21"/>
        </w:rPr>
        <w:t>身体健康，适应现场工作的条件。</w:t>
      </w:r>
    </w:p>
    <w:p w14:paraId="2B618DDC">
      <w:pPr>
        <w:pStyle w:val="31"/>
        <w:spacing w:line="360" w:lineRule="auto"/>
        <w:rPr>
          <w:rFonts w:hint="eastAsia" w:ascii="Times New Roman" w:hAnsi="Times New Roman"/>
          <w:szCs w:val="21"/>
        </w:rPr>
      </w:pPr>
      <w:r>
        <w:rPr>
          <w:rFonts w:hint="eastAsia" w:ascii="Times New Roman" w:hAnsi="Times New Roman"/>
          <w:szCs w:val="21"/>
        </w:rPr>
        <w:t>投标人要向招标人提供服务人员情况表。投标人须更换不合格的投标人现场服务人员。</w:t>
      </w:r>
      <w:r>
        <w:rPr>
          <w:rFonts w:ascii="Times New Roman" w:hAnsi="Times New Roman"/>
          <w:szCs w:val="21"/>
        </w:rPr>
        <w:br w:type="page"/>
      </w:r>
      <w:bookmarkStart w:id="60" w:name="_Toc59966837"/>
      <w:r>
        <w:rPr>
          <w:rFonts w:hint="eastAsia" w:ascii="Times New Roman" w:hAnsi="Times New Roman"/>
          <w:szCs w:val="21"/>
        </w:rPr>
        <w:t>服 务 人 员 情 况 表</w:t>
      </w:r>
      <w:bookmarkEnd w:id="60"/>
    </w:p>
    <w:tbl>
      <w:tblPr>
        <w:tblStyle w:val="59"/>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120"/>
        <w:gridCol w:w="1540"/>
        <w:gridCol w:w="1680"/>
        <w:gridCol w:w="980"/>
        <w:gridCol w:w="980"/>
        <w:gridCol w:w="980"/>
        <w:gridCol w:w="1068"/>
      </w:tblGrid>
      <w:tr w14:paraId="767B7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840" w:type="dxa"/>
            <w:tcBorders>
              <w:top w:val="single" w:color="auto" w:sz="8" w:space="0"/>
              <w:left w:val="single" w:color="auto" w:sz="8" w:space="0"/>
              <w:bottom w:val="single" w:color="auto" w:sz="4" w:space="0"/>
            </w:tcBorders>
            <w:noWrap w:val="0"/>
            <w:vAlign w:val="center"/>
          </w:tcPr>
          <w:p w14:paraId="5F48AC08">
            <w:pPr>
              <w:pStyle w:val="31"/>
              <w:spacing w:line="360" w:lineRule="auto"/>
              <w:rPr>
                <w:rFonts w:hint="eastAsia" w:ascii="Times New Roman" w:hAnsi="Times New Roman"/>
                <w:szCs w:val="21"/>
              </w:rPr>
            </w:pPr>
            <w:r>
              <w:rPr>
                <w:rFonts w:hint="eastAsia" w:ascii="Times New Roman" w:hAnsi="Times New Roman"/>
                <w:szCs w:val="21"/>
              </w:rPr>
              <w:t>姓名</w:t>
            </w:r>
          </w:p>
        </w:tc>
        <w:tc>
          <w:tcPr>
            <w:tcW w:w="1120" w:type="dxa"/>
            <w:tcBorders>
              <w:top w:val="single" w:color="auto" w:sz="8" w:space="0"/>
              <w:bottom w:val="single" w:color="auto" w:sz="4" w:space="0"/>
            </w:tcBorders>
            <w:noWrap w:val="0"/>
            <w:vAlign w:val="center"/>
          </w:tcPr>
          <w:p w14:paraId="0CC8B6DE">
            <w:pPr>
              <w:pStyle w:val="31"/>
              <w:spacing w:line="360" w:lineRule="auto"/>
              <w:rPr>
                <w:rFonts w:hint="eastAsia" w:ascii="Times New Roman" w:hAnsi="Times New Roman"/>
                <w:szCs w:val="21"/>
              </w:rPr>
            </w:pPr>
          </w:p>
        </w:tc>
        <w:tc>
          <w:tcPr>
            <w:tcW w:w="1540" w:type="dxa"/>
            <w:tcBorders>
              <w:top w:val="single" w:color="auto" w:sz="8" w:space="0"/>
              <w:bottom w:val="single" w:color="auto" w:sz="4" w:space="0"/>
            </w:tcBorders>
            <w:noWrap w:val="0"/>
            <w:vAlign w:val="center"/>
          </w:tcPr>
          <w:p w14:paraId="03056A21">
            <w:pPr>
              <w:pStyle w:val="31"/>
              <w:spacing w:line="360" w:lineRule="auto"/>
              <w:rPr>
                <w:rFonts w:hint="eastAsia" w:ascii="Times New Roman" w:hAnsi="Times New Roman"/>
                <w:szCs w:val="21"/>
              </w:rPr>
            </w:pPr>
            <w:r>
              <w:rPr>
                <w:rFonts w:hint="eastAsia" w:ascii="Times New Roman" w:hAnsi="Times New Roman"/>
                <w:szCs w:val="21"/>
              </w:rPr>
              <w:t>性别</w:t>
            </w:r>
          </w:p>
        </w:tc>
        <w:tc>
          <w:tcPr>
            <w:tcW w:w="1680" w:type="dxa"/>
            <w:tcBorders>
              <w:top w:val="single" w:color="auto" w:sz="8" w:space="0"/>
              <w:bottom w:val="single" w:color="auto" w:sz="4" w:space="0"/>
            </w:tcBorders>
            <w:noWrap w:val="0"/>
            <w:vAlign w:val="center"/>
          </w:tcPr>
          <w:p w14:paraId="06A01E51">
            <w:pPr>
              <w:pStyle w:val="31"/>
              <w:spacing w:line="360" w:lineRule="auto"/>
              <w:rPr>
                <w:rFonts w:hint="eastAsia" w:ascii="Times New Roman" w:hAnsi="Times New Roman"/>
                <w:szCs w:val="21"/>
              </w:rPr>
            </w:pPr>
          </w:p>
        </w:tc>
        <w:tc>
          <w:tcPr>
            <w:tcW w:w="980" w:type="dxa"/>
            <w:tcBorders>
              <w:top w:val="single" w:color="auto" w:sz="8" w:space="0"/>
              <w:bottom w:val="single" w:color="auto" w:sz="4" w:space="0"/>
            </w:tcBorders>
            <w:noWrap w:val="0"/>
            <w:vAlign w:val="center"/>
          </w:tcPr>
          <w:p w14:paraId="210D8274">
            <w:pPr>
              <w:pStyle w:val="31"/>
              <w:spacing w:line="360" w:lineRule="auto"/>
              <w:rPr>
                <w:rFonts w:hint="eastAsia" w:ascii="Times New Roman" w:hAnsi="Times New Roman"/>
                <w:szCs w:val="21"/>
              </w:rPr>
            </w:pPr>
            <w:r>
              <w:rPr>
                <w:rFonts w:hint="eastAsia" w:ascii="Times New Roman" w:hAnsi="Times New Roman"/>
                <w:szCs w:val="21"/>
              </w:rPr>
              <w:t>年龄</w:t>
            </w:r>
          </w:p>
        </w:tc>
        <w:tc>
          <w:tcPr>
            <w:tcW w:w="980" w:type="dxa"/>
            <w:tcBorders>
              <w:top w:val="single" w:color="auto" w:sz="8" w:space="0"/>
              <w:bottom w:val="single" w:color="auto" w:sz="4" w:space="0"/>
            </w:tcBorders>
            <w:noWrap w:val="0"/>
            <w:vAlign w:val="center"/>
          </w:tcPr>
          <w:p w14:paraId="0BC6FC68">
            <w:pPr>
              <w:pStyle w:val="31"/>
              <w:spacing w:line="360" w:lineRule="auto"/>
              <w:rPr>
                <w:rFonts w:hint="eastAsia" w:ascii="Times New Roman" w:hAnsi="Times New Roman"/>
                <w:szCs w:val="21"/>
              </w:rPr>
            </w:pPr>
          </w:p>
        </w:tc>
        <w:tc>
          <w:tcPr>
            <w:tcW w:w="980" w:type="dxa"/>
            <w:tcBorders>
              <w:top w:val="single" w:color="auto" w:sz="8" w:space="0"/>
              <w:bottom w:val="single" w:color="auto" w:sz="4" w:space="0"/>
            </w:tcBorders>
            <w:noWrap w:val="0"/>
            <w:vAlign w:val="center"/>
          </w:tcPr>
          <w:p w14:paraId="2746BD5C">
            <w:pPr>
              <w:pStyle w:val="31"/>
              <w:spacing w:line="360" w:lineRule="auto"/>
              <w:rPr>
                <w:rFonts w:hint="eastAsia" w:ascii="Times New Roman" w:hAnsi="Times New Roman"/>
                <w:szCs w:val="21"/>
              </w:rPr>
            </w:pPr>
            <w:r>
              <w:rPr>
                <w:rFonts w:hint="eastAsia" w:ascii="Times New Roman" w:hAnsi="Times New Roman"/>
                <w:szCs w:val="21"/>
              </w:rPr>
              <w:t>民族</w:t>
            </w:r>
          </w:p>
        </w:tc>
        <w:tc>
          <w:tcPr>
            <w:tcW w:w="1068" w:type="dxa"/>
            <w:tcBorders>
              <w:top w:val="single" w:color="auto" w:sz="8" w:space="0"/>
              <w:bottom w:val="single" w:color="auto" w:sz="4" w:space="0"/>
              <w:right w:val="single" w:color="auto" w:sz="8" w:space="0"/>
            </w:tcBorders>
            <w:noWrap w:val="0"/>
            <w:vAlign w:val="center"/>
          </w:tcPr>
          <w:p w14:paraId="14D2284D">
            <w:pPr>
              <w:pStyle w:val="31"/>
              <w:spacing w:line="360" w:lineRule="auto"/>
              <w:rPr>
                <w:rFonts w:hint="eastAsia" w:ascii="Times New Roman" w:hAnsi="Times New Roman"/>
                <w:szCs w:val="21"/>
              </w:rPr>
            </w:pPr>
          </w:p>
        </w:tc>
      </w:tr>
      <w:tr w14:paraId="2997DB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0" w:hRule="exact"/>
        </w:trPr>
        <w:tc>
          <w:tcPr>
            <w:tcW w:w="840" w:type="dxa"/>
            <w:tcBorders>
              <w:top w:val="single" w:color="auto" w:sz="4" w:space="0"/>
              <w:left w:val="single" w:color="auto" w:sz="8" w:space="0"/>
              <w:bottom w:val="single" w:color="auto" w:sz="4" w:space="0"/>
            </w:tcBorders>
            <w:noWrap w:val="0"/>
            <w:vAlign w:val="center"/>
          </w:tcPr>
          <w:p w14:paraId="47227BE8">
            <w:pPr>
              <w:pStyle w:val="31"/>
              <w:spacing w:line="360" w:lineRule="auto"/>
              <w:rPr>
                <w:rFonts w:hint="eastAsia" w:ascii="Times New Roman" w:hAnsi="Times New Roman"/>
                <w:szCs w:val="21"/>
              </w:rPr>
            </w:pPr>
            <w:r>
              <w:rPr>
                <w:rFonts w:hint="eastAsia" w:ascii="Times New Roman" w:hAnsi="Times New Roman"/>
                <w:szCs w:val="21"/>
              </w:rPr>
              <w:t>政治</w:t>
            </w:r>
          </w:p>
          <w:p w14:paraId="7EAF8B94">
            <w:pPr>
              <w:pStyle w:val="31"/>
              <w:spacing w:line="360" w:lineRule="auto"/>
              <w:rPr>
                <w:rFonts w:hint="eastAsia" w:ascii="Times New Roman" w:hAnsi="Times New Roman"/>
                <w:szCs w:val="21"/>
              </w:rPr>
            </w:pPr>
            <w:r>
              <w:rPr>
                <w:rFonts w:hint="eastAsia" w:ascii="Times New Roman" w:hAnsi="Times New Roman"/>
                <w:szCs w:val="21"/>
              </w:rPr>
              <w:t>面貌</w:t>
            </w:r>
          </w:p>
        </w:tc>
        <w:tc>
          <w:tcPr>
            <w:tcW w:w="1120" w:type="dxa"/>
            <w:tcBorders>
              <w:top w:val="single" w:color="auto" w:sz="4" w:space="0"/>
              <w:bottom w:val="single" w:color="auto" w:sz="4" w:space="0"/>
            </w:tcBorders>
            <w:noWrap w:val="0"/>
            <w:vAlign w:val="center"/>
          </w:tcPr>
          <w:p w14:paraId="6C85BCED">
            <w:pPr>
              <w:pStyle w:val="31"/>
              <w:spacing w:line="360" w:lineRule="auto"/>
              <w:rPr>
                <w:rFonts w:hint="eastAsia" w:ascii="Times New Roman" w:hAnsi="Times New Roman"/>
                <w:szCs w:val="21"/>
              </w:rPr>
            </w:pPr>
          </w:p>
        </w:tc>
        <w:tc>
          <w:tcPr>
            <w:tcW w:w="1540" w:type="dxa"/>
            <w:tcBorders>
              <w:top w:val="single" w:color="auto" w:sz="4" w:space="0"/>
              <w:bottom w:val="single" w:color="auto" w:sz="4" w:space="0"/>
            </w:tcBorders>
            <w:noWrap w:val="0"/>
            <w:vAlign w:val="center"/>
          </w:tcPr>
          <w:p w14:paraId="4FE48A31">
            <w:pPr>
              <w:pStyle w:val="31"/>
              <w:spacing w:line="360" w:lineRule="auto"/>
              <w:rPr>
                <w:rFonts w:hint="eastAsia" w:ascii="Times New Roman" w:hAnsi="Times New Roman"/>
                <w:szCs w:val="21"/>
              </w:rPr>
            </w:pPr>
            <w:r>
              <w:rPr>
                <w:rFonts w:hint="eastAsia" w:ascii="Times New Roman" w:hAnsi="Times New Roman"/>
                <w:szCs w:val="21"/>
              </w:rPr>
              <w:t>学校和专业</w:t>
            </w:r>
          </w:p>
        </w:tc>
        <w:tc>
          <w:tcPr>
            <w:tcW w:w="1680" w:type="dxa"/>
            <w:tcBorders>
              <w:top w:val="single" w:color="auto" w:sz="4" w:space="0"/>
              <w:bottom w:val="single" w:color="auto" w:sz="4" w:space="0"/>
            </w:tcBorders>
            <w:noWrap w:val="0"/>
            <w:vAlign w:val="center"/>
          </w:tcPr>
          <w:p w14:paraId="1856C1C3">
            <w:pPr>
              <w:pStyle w:val="31"/>
              <w:spacing w:line="360" w:lineRule="auto"/>
              <w:rPr>
                <w:rFonts w:hint="eastAsia" w:ascii="Times New Roman" w:hAnsi="Times New Roman"/>
                <w:szCs w:val="21"/>
              </w:rPr>
            </w:pPr>
          </w:p>
        </w:tc>
        <w:tc>
          <w:tcPr>
            <w:tcW w:w="980" w:type="dxa"/>
            <w:tcBorders>
              <w:top w:val="single" w:color="auto" w:sz="4" w:space="0"/>
              <w:bottom w:val="single" w:color="auto" w:sz="4" w:space="0"/>
            </w:tcBorders>
            <w:noWrap w:val="0"/>
            <w:vAlign w:val="center"/>
          </w:tcPr>
          <w:p w14:paraId="2D5BA8B4">
            <w:pPr>
              <w:pStyle w:val="31"/>
              <w:spacing w:line="360" w:lineRule="auto"/>
              <w:rPr>
                <w:rFonts w:hint="eastAsia" w:ascii="Times New Roman" w:hAnsi="Times New Roman"/>
                <w:szCs w:val="21"/>
              </w:rPr>
            </w:pPr>
            <w:r>
              <w:rPr>
                <w:rFonts w:hint="eastAsia" w:ascii="Times New Roman" w:hAnsi="Times New Roman"/>
                <w:szCs w:val="21"/>
              </w:rPr>
              <w:t>职务</w:t>
            </w:r>
          </w:p>
        </w:tc>
        <w:tc>
          <w:tcPr>
            <w:tcW w:w="980" w:type="dxa"/>
            <w:tcBorders>
              <w:top w:val="single" w:color="auto" w:sz="4" w:space="0"/>
              <w:bottom w:val="single" w:color="auto" w:sz="4" w:space="0"/>
            </w:tcBorders>
            <w:noWrap w:val="0"/>
            <w:vAlign w:val="center"/>
          </w:tcPr>
          <w:p w14:paraId="13BDCAD2">
            <w:pPr>
              <w:pStyle w:val="31"/>
              <w:spacing w:line="360" w:lineRule="auto"/>
              <w:rPr>
                <w:rFonts w:hint="eastAsia" w:ascii="Times New Roman" w:hAnsi="Times New Roman"/>
                <w:szCs w:val="21"/>
              </w:rPr>
            </w:pPr>
          </w:p>
        </w:tc>
        <w:tc>
          <w:tcPr>
            <w:tcW w:w="980" w:type="dxa"/>
            <w:tcBorders>
              <w:top w:val="single" w:color="auto" w:sz="4" w:space="0"/>
              <w:bottom w:val="single" w:color="auto" w:sz="4" w:space="0"/>
            </w:tcBorders>
            <w:noWrap w:val="0"/>
            <w:vAlign w:val="center"/>
          </w:tcPr>
          <w:p w14:paraId="3CD7B3CD">
            <w:pPr>
              <w:pStyle w:val="31"/>
              <w:spacing w:line="360" w:lineRule="auto"/>
              <w:rPr>
                <w:rFonts w:hint="eastAsia" w:ascii="Times New Roman" w:hAnsi="Times New Roman"/>
                <w:szCs w:val="21"/>
              </w:rPr>
            </w:pPr>
            <w:r>
              <w:rPr>
                <w:rFonts w:hint="eastAsia" w:ascii="Times New Roman" w:hAnsi="Times New Roman"/>
                <w:szCs w:val="21"/>
              </w:rPr>
              <w:t>职称</w:t>
            </w:r>
          </w:p>
        </w:tc>
        <w:tc>
          <w:tcPr>
            <w:tcW w:w="1068" w:type="dxa"/>
            <w:tcBorders>
              <w:top w:val="single" w:color="auto" w:sz="4" w:space="0"/>
              <w:bottom w:val="single" w:color="auto" w:sz="4" w:space="0"/>
              <w:right w:val="single" w:color="auto" w:sz="8" w:space="0"/>
            </w:tcBorders>
            <w:noWrap w:val="0"/>
            <w:vAlign w:val="center"/>
          </w:tcPr>
          <w:p w14:paraId="40B63CDB">
            <w:pPr>
              <w:pStyle w:val="31"/>
              <w:spacing w:line="360" w:lineRule="auto"/>
              <w:rPr>
                <w:rFonts w:hint="eastAsia" w:ascii="Times New Roman" w:hAnsi="Times New Roman"/>
                <w:szCs w:val="21"/>
              </w:rPr>
            </w:pPr>
          </w:p>
        </w:tc>
      </w:tr>
      <w:tr w14:paraId="25DC6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840" w:type="dxa"/>
            <w:tcBorders>
              <w:top w:val="single" w:color="auto" w:sz="4" w:space="0"/>
              <w:left w:val="single" w:color="auto" w:sz="8" w:space="0"/>
              <w:bottom w:val="single" w:color="auto" w:sz="4" w:space="0"/>
            </w:tcBorders>
            <w:noWrap w:val="0"/>
            <w:vAlign w:val="top"/>
          </w:tcPr>
          <w:p w14:paraId="2AE9A0AF">
            <w:pPr>
              <w:pStyle w:val="31"/>
              <w:spacing w:line="360" w:lineRule="auto"/>
              <w:rPr>
                <w:rFonts w:hint="eastAsia" w:ascii="Times New Roman" w:hAnsi="Times New Roman"/>
                <w:szCs w:val="21"/>
              </w:rPr>
            </w:pPr>
          </w:p>
          <w:p w14:paraId="38C86DA5">
            <w:pPr>
              <w:pStyle w:val="31"/>
              <w:spacing w:line="360" w:lineRule="auto"/>
              <w:rPr>
                <w:rFonts w:hint="eastAsia" w:ascii="Times New Roman" w:hAnsi="Times New Roman"/>
                <w:szCs w:val="21"/>
              </w:rPr>
            </w:pPr>
          </w:p>
          <w:p w14:paraId="1039C1A1">
            <w:pPr>
              <w:pStyle w:val="31"/>
              <w:spacing w:line="360" w:lineRule="auto"/>
              <w:rPr>
                <w:rFonts w:hint="eastAsia" w:ascii="Times New Roman" w:hAnsi="Times New Roman"/>
                <w:szCs w:val="21"/>
              </w:rPr>
            </w:pPr>
          </w:p>
          <w:p w14:paraId="119AC6D6">
            <w:pPr>
              <w:pStyle w:val="31"/>
              <w:spacing w:line="360" w:lineRule="auto"/>
              <w:rPr>
                <w:rFonts w:ascii="Times New Roman" w:hAnsi="Times New Roman"/>
                <w:szCs w:val="21"/>
              </w:rPr>
            </w:pPr>
            <w:r>
              <w:rPr>
                <w:rFonts w:hint="eastAsia" w:ascii="Times New Roman" w:hAnsi="Times New Roman"/>
                <w:szCs w:val="21"/>
              </w:rPr>
              <w:t>工</w:t>
            </w:r>
          </w:p>
          <w:p w14:paraId="7BAF7C8A">
            <w:pPr>
              <w:pStyle w:val="31"/>
              <w:spacing w:line="360" w:lineRule="auto"/>
              <w:rPr>
                <w:rFonts w:hint="eastAsia" w:ascii="Times New Roman" w:hAnsi="Times New Roman"/>
                <w:szCs w:val="21"/>
              </w:rPr>
            </w:pPr>
          </w:p>
          <w:p w14:paraId="4E6F091C">
            <w:pPr>
              <w:pStyle w:val="31"/>
              <w:spacing w:line="360" w:lineRule="auto"/>
              <w:rPr>
                <w:rFonts w:hint="eastAsia" w:ascii="Times New Roman" w:hAnsi="Times New Roman"/>
                <w:szCs w:val="21"/>
              </w:rPr>
            </w:pPr>
          </w:p>
          <w:p w14:paraId="3A1F0076">
            <w:pPr>
              <w:pStyle w:val="31"/>
              <w:spacing w:line="360" w:lineRule="auto"/>
              <w:rPr>
                <w:rFonts w:ascii="Times New Roman" w:hAnsi="Times New Roman"/>
                <w:szCs w:val="21"/>
              </w:rPr>
            </w:pPr>
            <w:r>
              <w:rPr>
                <w:rFonts w:hint="eastAsia" w:ascii="Times New Roman" w:hAnsi="Times New Roman"/>
                <w:szCs w:val="21"/>
              </w:rPr>
              <w:t>作</w:t>
            </w:r>
          </w:p>
          <w:p w14:paraId="349ACFA7">
            <w:pPr>
              <w:pStyle w:val="31"/>
              <w:spacing w:line="360" w:lineRule="auto"/>
              <w:rPr>
                <w:rFonts w:hint="eastAsia" w:ascii="Times New Roman" w:hAnsi="Times New Roman"/>
                <w:szCs w:val="21"/>
              </w:rPr>
            </w:pPr>
          </w:p>
          <w:p w14:paraId="7102CF04">
            <w:pPr>
              <w:pStyle w:val="31"/>
              <w:spacing w:line="360" w:lineRule="auto"/>
              <w:rPr>
                <w:rFonts w:hint="eastAsia" w:ascii="Times New Roman" w:hAnsi="Times New Roman"/>
                <w:szCs w:val="21"/>
              </w:rPr>
            </w:pPr>
          </w:p>
          <w:p w14:paraId="2A4F8B18">
            <w:pPr>
              <w:pStyle w:val="31"/>
              <w:spacing w:line="360" w:lineRule="auto"/>
              <w:rPr>
                <w:rFonts w:ascii="Times New Roman" w:hAnsi="Times New Roman"/>
                <w:szCs w:val="21"/>
              </w:rPr>
            </w:pPr>
            <w:r>
              <w:rPr>
                <w:rFonts w:hint="eastAsia" w:ascii="Times New Roman" w:hAnsi="Times New Roman"/>
                <w:szCs w:val="21"/>
              </w:rPr>
              <w:t>简</w:t>
            </w:r>
          </w:p>
          <w:p w14:paraId="0C93096C">
            <w:pPr>
              <w:pStyle w:val="31"/>
              <w:spacing w:line="360" w:lineRule="auto"/>
              <w:rPr>
                <w:rFonts w:hint="eastAsia" w:ascii="Times New Roman" w:hAnsi="Times New Roman"/>
                <w:szCs w:val="21"/>
              </w:rPr>
            </w:pPr>
          </w:p>
          <w:p w14:paraId="33A0BAAE">
            <w:pPr>
              <w:pStyle w:val="31"/>
              <w:spacing w:line="360" w:lineRule="auto"/>
              <w:rPr>
                <w:rFonts w:hint="eastAsia" w:ascii="Times New Roman" w:hAnsi="Times New Roman"/>
                <w:szCs w:val="21"/>
              </w:rPr>
            </w:pPr>
          </w:p>
          <w:p w14:paraId="4502A4FF">
            <w:pPr>
              <w:pStyle w:val="31"/>
              <w:spacing w:line="360" w:lineRule="auto"/>
              <w:rPr>
                <w:rFonts w:hint="eastAsia" w:ascii="Times New Roman" w:hAnsi="Times New Roman"/>
                <w:szCs w:val="21"/>
              </w:rPr>
            </w:pPr>
            <w:r>
              <w:rPr>
                <w:rFonts w:hint="eastAsia" w:ascii="Times New Roman" w:hAnsi="Times New Roman"/>
                <w:szCs w:val="21"/>
              </w:rPr>
              <w:t>历</w:t>
            </w:r>
          </w:p>
        </w:tc>
        <w:tc>
          <w:tcPr>
            <w:tcW w:w="8348" w:type="dxa"/>
            <w:gridSpan w:val="7"/>
            <w:tcBorders>
              <w:top w:val="single" w:color="auto" w:sz="4" w:space="0"/>
              <w:bottom w:val="single" w:color="auto" w:sz="4" w:space="0"/>
              <w:right w:val="single" w:color="auto" w:sz="8" w:space="0"/>
            </w:tcBorders>
            <w:noWrap w:val="0"/>
            <w:vAlign w:val="top"/>
          </w:tcPr>
          <w:p w14:paraId="0C607785">
            <w:pPr>
              <w:pStyle w:val="31"/>
              <w:spacing w:line="360" w:lineRule="auto"/>
              <w:rPr>
                <w:rFonts w:hint="eastAsia" w:ascii="Times New Roman" w:hAnsi="Times New Roman"/>
                <w:szCs w:val="21"/>
              </w:rPr>
            </w:pPr>
            <w:r>
              <w:rPr>
                <w:rFonts w:hint="eastAsia" w:ascii="Times New Roman" w:hAnsi="Times New Roman"/>
                <w:szCs w:val="21"/>
              </w:rPr>
              <w:t>（包括参加了哪些工程的现场服务）</w:t>
            </w:r>
          </w:p>
          <w:p w14:paraId="4CE32865">
            <w:pPr>
              <w:pStyle w:val="31"/>
              <w:spacing w:line="360" w:lineRule="auto"/>
              <w:rPr>
                <w:rFonts w:hint="eastAsia" w:ascii="Times New Roman" w:hAnsi="Times New Roman"/>
                <w:szCs w:val="21"/>
              </w:rPr>
            </w:pPr>
          </w:p>
          <w:p w14:paraId="5AAFBAB1">
            <w:pPr>
              <w:pStyle w:val="31"/>
              <w:spacing w:line="360" w:lineRule="auto"/>
              <w:rPr>
                <w:rFonts w:hint="eastAsia" w:ascii="Times New Roman" w:hAnsi="Times New Roman"/>
                <w:szCs w:val="21"/>
              </w:rPr>
            </w:pPr>
          </w:p>
          <w:p w14:paraId="5F0D619B">
            <w:pPr>
              <w:pStyle w:val="31"/>
              <w:spacing w:line="360" w:lineRule="auto"/>
              <w:rPr>
                <w:rFonts w:hint="eastAsia" w:ascii="Times New Roman" w:hAnsi="Times New Roman"/>
                <w:szCs w:val="21"/>
              </w:rPr>
            </w:pPr>
          </w:p>
          <w:p w14:paraId="7A7A75BB">
            <w:pPr>
              <w:pStyle w:val="31"/>
              <w:spacing w:line="360" w:lineRule="auto"/>
              <w:rPr>
                <w:rFonts w:hint="eastAsia" w:ascii="Times New Roman" w:hAnsi="Times New Roman"/>
                <w:szCs w:val="21"/>
              </w:rPr>
            </w:pPr>
          </w:p>
          <w:p w14:paraId="5551C20E">
            <w:pPr>
              <w:pStyle w:val="31"/>
              <w:spacing w:line="360" w:lineRule="auto"/>
              <w:rPr>
                <w:rFonts w:hint="eastAsia" w:ascii="Times New Roman" w:hAnsi="Times New Roman"/>
                <w:szCs w:val="21"/>
              </w:rPr>
            </w:pPr>
          </w:p>
          <w:p w14:paraId="577A3626">
            <w:pPr>
              <w:pStyle w:val="31"/>
              <w:spacing w:line="360" w:lineRule="auto"/>
              <w:rPr>
                <w:rFonts w:hint="eastAsia" w:ascii="Times New Roman" w:hAnsi="Times New Roman"/>
                <w:szCs w:val="21"/>
              </w:rPr>
            </w:pPr>
          </w:p>
          <w:p w14:paraId="64B7D922">
            <w:pPr>
              <w:pStyle w:val="31"/>
              <w:spacing w:line="360" w:lineRule="auto"/>
              <w:rPr>
                <w:rFonts w:hint="eastAsia" w:ascii="Times New Roman" w:hAnsi="Times New Roman"/>
                <w:szCs w:val="21"/>
              </w:rPr>
            </w:pPr>
          </w:p>
          <w:p w14:paraId="0827A464">
            <w:pPr>
              <w:pStyle w:val="31"/>
              <w:spacing w:line="360" w:lineRule="auto"/>
              <w:rPr>
                <w:rFonts w:hint="eastAsia" w:ascii="Times New Roman" w:hAnsi="Times New Roman"/>
                <w:szCs w:val="21"/>
              </w:rPr>
            </w:pPr>
          </w:p>
          <w:p w14:paraId="3A0567F2">
            <w:pPr>
              <w:pStyle w:val="31"/>
              <w:spacing w:line="360" w:lineRule="auto"/>
              <w:rPr>
                <w:rFonts w:hint="eastAsia" w:ascii="Times New Roman" w:hAnsi="Times New Roman"/>
                <w:szCs w:val="21"/>
              </w:rPr>
            </w:pPr>
          </w:p>
          <w:p w14:paraId="0C9BCAEA">
            <w:pPr>
              <w:pStyle w:val="31"/>
              <w:spacing w:line="360" w:lineRule="auto"/>
              <w:rPr>
                <w:rFonts w:hint="eastAsia" w:ascii="Times New Roman" w:hAnsi="Times New Roman"/>
                <w:szCs w:val="21"/>
              </w:rPr>
            </w:pPr>
          </w:p>
          <w:p w14:paraId="648FC072">
            <w:pPr>
              <w:pStyle w:val="31"/>
              <w:spacing w:line="360" w:lineRule="auto"/>
              <w:rPr>
                <w:rFonts w:hint="eastAsia" w:ascii="Times New Roman" w:hAnsi="Times New Roman"/>
                <w:szCs w:val="21"/>
              </w:rPr>
            </w:pPr>
          </w:p>
          <w:p w14:paraId="46295999">
            <w:pPr>
              <w:pStyle w:val="31"/>
              <w:spacing w:line="360" w:lineRule="auto"/>
              <w:rPr>
                <w:rFonts w:hint="eastAsia" w:ascii="Times New Roman" w:hAnsi="Times New Roman"/>
                <w:szCs w:val="21"/>
              </w:rPr>
            </w:pPr>
          </w:p>
        </w:tc>
      </w:tr>
      <w:tr w14:paraId="1AE41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840" w:type="dxa"/>
            <w:tcBorders>
              <w:top w:val="single" w:color="auto" w:sz="4" w:space="0"/>
              <w:left w:val="single" w:color="auto" w:sz="8" w:space="0"/>
              <w:bottom w:val="single" w:color="auto" w:sz="8" w:space="0"/>
            </w:tcBorders>
            <w:noWrap w:val="0"/>
            <w:vAlign w:val="center"/>
          </w:tcPr>
          <w:p w14:paraId="6E629DC2">
            <w:pPr>
              <w:pStyle w:val="31"/>
              <w:spacing w:line="360" w:lineRule="auto"/>
              <w:rPr>
                <w:rFonts w:hint="eastAsia" w:ascii="Times New Roman" w:hAnsi="Times New Roman"/>
                <w:szCs w:val="21"/>
              </w:rPr>
            </w:pPr>
            <w:r>
              <w:rPr>
                <w:rFonts w:hint="eastAsia" w:ascii="Times New Roman" w:hAnsi="Times New Roman"/>
                <w:szCs w:val="21"/>
              </w:rPr>
              <w:t>单</w:t>
            </w:r>
          </w:p>
          <w:p w14:paraId="5F1F47FB">
            <w:pPr>
              <w:pStyle w:val="31"/>
              <w:spacing w:line="360" w:lineRule="auto"/>
              <w:rPr>
                <w:rFonts w:hint="eastAsia" w:ascii="Times New Roman" w:hAnsi="Times New Roman"/>
                <w:szCs w:val="21"/>
              </w:rPr>
            </w:pPr>
          </w:p>
          <w:p w14:paraId="57F27CF5">
            <w:pPr>
              <w:pStyle w:val="31"/>
              <w:spacing w:line="360" w:lineRule="auto"/>
              <w:rPr>
                <w:rFonts w:hint="eastAsia" w:ascii="Times New Roman" w:hAnsi="Times New Roman"/>
                <w:szCs w:val="21"/>
              </w:rPr>
            </w:pPr>
            <w:r>
              <w:rPr>
                <w:rFonts w:hint="eastAsia" w:ascii="Times New Roman" w:hAnsi="Times New Roman"/>
                <w:szCs w:val="21"/>
              </w:rPr>
              <w:t>位</w:t>
            </w:r>
          </w:p>
          <w:p w14:paraId="3AD9AE91">
            <w:pPr>
              <w:pStyle w:val="31"/>
              <w:spacing w:line="360" w:lineRule="auto"/>
              <w:rPr>
                <w:rFonts w:hint="eastAsia" w:ascii="Times New Roman" w:hAnsi="Times New Roman"/>
                <w:szCs w:val="21"/>
              </w:rPr>
            </w:pPr>
          </w:p>
          <w:p w14:paraId="5D773BF7">
            <w:pPr>
              <w:pStyle w:val="31"/>
              <w:spacing w:line="360" w:lineRule="auto"/>
              <w:rPr>
                <w:rFonts w:hint="eastAsia" w:ascii="Times New Roman" w:hAnsi="Times New Roman"/>
                <w:szCs w:val="21"/>
              </w:rPr>
            </w:pPr>
            <w:r>
              <w:rPr>
                <w:rFonts w:hint="eastAsia" w:ascii="Times New Roman" w:hAnsi="Times New Roman"/>
                <w:szCs w:val="21"/>
              </w:rPr>
              <w:t>评</w:t>
            </w:r>
          </w:p>
          <w:p w14:paraId="6252887A">
            <w:pPr>
              <w:pStyle w:val="31"/>
              <w:spacing w:line="360" w:lineRule="auto"/>
              <w:rPr>
                <w:rFonts w:hint="eastAsia" w:ascii="Times New Roman" w:hAnsi="Times New Roman"/>
                <w:szCs w:val="21"/>
              </w:rPr>
            </w:pPr>
          </w:p>
          <w:p w14:paraId="623D98B3">
            <w:pPr>
              <w:pStyle w:val="31"/>
              <w:spacing w:line="360" w:lineRule="auto"/>
              <w:rPr>
                <w:rFonts w:hint="eastAsia" w:ascii="Times New Roman" w:hAnsi="Times New Roman"/>
                <w:szCs w:val="21"/>
              </w:rPr>
            </w:pPr>
            <w:r>
              <w:rPr>
                <w:rFonts w:hint="eastAsia" w:ascii="Times New Roman" w:hAnsi="Times New Roman"/>
                <w:szCs w:val="21"/>
              </w:rPr>
              <w:t>价</w:t>
            </w:r>
          </w:p>
        </w:tc>
        <w:tc>
          <w:tcPr>
            <w:tcW w:w="8348" w:type="dxa"/>
            <w:gridSpan w:val="7"/>
            <w:tcBorders>
              <w:top w:val="single" w:color="auto" w:sz="4" w:space="0"/>
              <w:bottom w:val="single" w:color="auto" w:sz="8" w:space="0"/>
              <w:right w:val="single" w:color="auto" w:sz="8" w:space="0"/>
            </w:tcBorders>
            <w:noWrap w:val="0"/>
            <w:vAlign w:val="top"/>
          </w:tcPr>
          <w:p w14:paraId="6EAF70A0">
            <w:pPr>
              <w:pStyle w:val="31"/>
              <w:spacing w:line="360" w:lineRule="auto"/>
              <w:rPr>
                <w:rFonts w:hint="eastAsia" w:ascii="Times New Roman" w:hAnsi="Times New Roman"/>
                <w:szCs w:val="21"/>
              </w:rPr>
            </w:pPr>
            <w:r>
              <w:rPr>
                <w:rFonts w:hint="eastAsia" w:ascii="Times New Roman" w:hAnsi="Times New Roman"/>
                <w:szCs w:val="21"/>
              </w:rPr>
              <w:t>（按资质4条逐条评价）</w:t>
            </w:r>
          </w:p>
          <w:p w14:paraId="0DC8ED9A">
            <w:pPr>
              <w:pStyle w:val="31"/>
              <w:spacing w:line="360" w:lineRule="auto"/>
              <w:rPr>
                <w:rFonts w:hint="eastAsia" w:ascii="Times New Roman" w:hAnsi="Times New Roman"/>
                <w:szCs w:val="21"/>
              </w:rPr>
            </w:pPr>
          </w:p>
          <w:p w14:paraId="75ECFCDC">
            <w:pPr>
              <w:pStyle w:val="31"/>
              <w:spacing w:line="360" w:lineRule="auto"/>
              <w:rPr>
                <w:rFonts w:hint="eastAsia" w:ascii="Times New Roman" w:hAnsi="Times New Roman"/>
                <w:szCs w:val="21"/>
              </w:rPr>
            </w:pPr>
          </w:p>
          <w:p w14:paraId="7CFF572C">
            <w:pPr>
              <w:pStyle w:val="31"/>
              <w:spacing w:line="360" w:lineRule="auto"/>
              <w:rPr>
                <w:rFonts w:hint="eastAsia" w:ascii="Times New Roman" w:hAnsi="Times New Roman"/>
                <w:szCs w:val="21"/>
              </w:rPr>
            </w:pPr>
          </w:p>
          <w:p w14:paraId="70672909">
            <w:pPr>
              <w:pStyle w:val="31"/>
              <w:spacing w:line="360" w:lineRule="auto"/>
              <w:rPr>
                <w:rFonts w:hint="eastAsia" w:ascii="Times New Roman" w:hAnsi="Times New Roman"/>
                <w:szCs w:val="21"/>
              </w:rPr>
            </w:pPr>
          </w:p>
          <w:p w14:paraId="4E701E0C">
            <w:pPr>
              <w:pStyle w:val="31"/>
              <w:spacing w:line="360" w:lineRule="auto"/>
              <w:rPr>
                <w:rFonts w:hint="eastAsia" w:ascii="Times New Roman" w:hAnsi="Times New Roman"/>
                <w:szCs w:val="21"/>
              </w:rPr>
            </w:pPr>
          </w:p>
          <w:p w14:paraId="448E95C9">
            <w:pPr>
              <w:pStyle w:val="31"/>
              <w:spacing w:line="360" w:lineRule="auto"/>
              <w:rPr>
                <w:rFonts w:hint="eastAsia" w:ascii="Times New Roman" w:hAnsi="Times New Roman"/>
                <w:szCs w:val="21"/>
              </w:rPr>
            </w:pPr>
          </w:p>
          <w:p w14:paraId="43A5F52B">
            <w:pPr>
              <w:pStyle w:val="31"/>
              <w:spacing w:line="360" w:lineRule="auto"/>
              <w:rPr>
                <w:rFonts w:hint="eastAsia" w:ascii="Times New Roman" w:hAnsi="Times New Roman"/>
                <w:szCs w:val="21"/>
              </w:rPr>
            </w:pPr>
            <w:r>
              <w:rPr>
                <w:rFonts w:hint="eastAsia" w:ascii="Times New Roman" w:hAnsi="Times New Roman"/>
                <w:szCs w:val="21"/>
              </w:rPr>
              <w:t xml:space="preserve">                                           单位：（盖章）</w:t>
            </w:r>
          </w:p>
          <w:p w14:paraId="25241969">
            <w:pPr>
              <w:pStyle w:val="31"/>
              <w:spacing w:line="360" w:lineRule="auto"/>
              <w:rPr>
                <w:rFonts w:hint="eastAsia" w:ascii="Times New Roman" w:hAnsi="Times New Roman"/>
                <w:szCs w:val="21"/>
              </w:rPr>
            </w:pPr>
          </w:p>
          <w:p w14:paraId="5DFA780D">
            <w:pPr>
              <w:pStyle w:val="31"/>
              <w:spacing w:line="360" w:lineRule="auto"/>
              <w:rPr>
                <w:rFonts w:hint="eastAsia" w:ascii="Times New Roman" w:hAnsi="Times New Roman"/>
                <w:szCs w:val="21"/>
              </w:rPr>
            </w:pPr>
            <w:r>
              <w:rPr>
                <w:rFonts w:hint="eastAsia" w:ascii="Times New Roman" w:hAnsi="Times New Roman"/>
                <w:szCs w:val="21"/>
              </w:rPr>
              <w:t xml:space="preserve">                                           年    月    日</w:t>
            </w:r>
          </w:p>
          <w:p w14:paraId="63D97CF2">
            <w:pPr>
              <w:pStyle w:val="31"/>
              <w:spacing w:line="360" w:lineRule="auto"/>
              <w:rPr>
                <w:rFonts w:hint="eastAsia" w:ascii="Times New Roman" w:hAnsi="Times New Roman"/>
                <w:szCs w:val="21"/>
              </w:rPr>
            </w:pPr>
          </w:p>
        </w:tc>
      </w:tr>
    </w:tbl>
    <w:p w14:paraId="48A37A5E">
      <w:pPr>
        <w:pStyle w:val="31"/>
        <w:spacing w:line="360" w:lineRule="auto"/>
        <w:rPr>
          <w:rFonts w:hint="eastAsia" w:ascii="Times New Roman" w:hAnsi="Times New Roman"/>
          <w:szCs w:val="21"/>
        </w:rPr>
      </w:pPr>
      <w:r>
        <w:rPr>
          <w:rFonts w:hint="eastAsia" w:ascii="Times New Roman" w:hAnsi="Times New Roman"/>
          <w:szCs w:val="21"/>
        </w:rPr>
        <w:t>（注：每人一表）</w:t>
      </w:r>
    </w:p>
    <w:p w14:paraId="6F501782">
      <w:pPr>
        <w:pStyle w:val="31"/>
        <w:spacing w:line="360" w:lineRule="auto"/>
        <w:rPr>
          <w:rFonts w:ascii="Times New Roman" w:hAnsi="Times New Roman"/>
          <w:szCs w:val="21"/>
        </w:rPr>
      </w:pPr>
    </w:p>
    <w:p w14:paraId="2118C305">
      <w:pPr>
        <w:pStyle w:val="31"/>
        <w:spacing w:line="360" w:lineRule="auto"/>
        <w:rPr>
          <w:rFonts w:ascii="Times New Roman" w:hAnsi="Times New Roman"/>
          <w:szCs w:val="21"/>
        </w:rPr>
      </w:pPr>
    </w:p>
    <w:p w14:paraId="245FC756">
      <w:pPr>
        <w:pStyle w:val="31"/>
        <w:spacing w:line="360" w:lineRule="auto"/>
        <w:rPr>
          <w:rFonts w:ascii="Times New Roman" w:hAnsi="Times New Roman"/>
          <w:szCs w:val="21"/>
        </w:rPr>
      </w:pPr>
    </w:p>
    <w:p w14:paraId="4E207026">
      <w:pPr>
        <w:pStyle w:val="31"/>
        <w:spacing w:line="360" w:lineRule="auto"/>
        <w:rPr>
          <w:rFonts w:ascii="Times New Roman" w:hAnsi="Times New Roman"/>
          <w:szCs w:val="21"/>
        </w:rPr>
      </w:pPr>
    </w:p>
    <w:p w14:paraId="290BBCDA">
      <w:pPr>
        <w:pStyle w:val="31"/>
        <w:spacing w:line="360" w:lineRule="auto"/>
        <w:rPr>
          <w:rFonts w:ascii="Times New Roman" w:hAnsi="Times New Roman"/>
          <w:szCs w:val="21"/>
        </w:rPr>
      </w:pPr>
    </w:p>
    <w:p w14:paraId="12546015">
      <w:pPr>
        <w:pStyle w:val="31"/>
        <w:spacing w:line="360"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3</w:t>
      </w:r>
      <w:r>
        <w:rPr>
          <w:rFonts w:ascii="Times New Roman" w:hAnsi="Times New Roman"/>
          <w:szCs w:val="21"/>
        </w:rPr>
        <w:tab/>
      </w:r>
      <w:r>
        <w:rPr>
          <w:rFonts w:hint="eastAsia" w:ascii="Times New Roman" w:hAnsi="Times New Roman"/>
          <w:szCs w:val="21"/>
        </w:rPr>
        <w:t>投标人现场服务人员的职责</w:t>
      </w:r>
    </w:p>
    <w:p w14:paraId="1A09CEB4">
      <w:pPr>
        <w:pStyle w:val="31"/>
        <w:spacing w:line="360"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3.1</w:t>
      </w:r>
      <w:r>
        <w:rPr>
          <w:rFonts w:hint="eastAsia" w:ascii="Times New Roman" w:hAnsi="Times New Roman"/>
          <w:szCs w:val="21"/>
        </w:rPr>
        <w:tab/>
      </w:r>
      <w:r>
        <w:rPr>
          <w:rFonts w:hint="eastAsia" w:ascii="Times New Roman" w:hAnsi="Times New Roman"/>
          <w:szCs w:val="21"/>
        </w:rPr>
        <w:t>投标人现场服务人员的任务主要包括设备催交、货物的开箱检验、设备质量问题的处理、指导安装和调试、参加试运和性能验收试验。</w:t>
      </w:r>
    </w:p>
    <w:p w14:paraId="14C1A4F6">
      <w:pPr>
        <w:pStyle w:val="31"/>
        <w:spacing w:line="360"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3.2</w:t>
      </w:r>
      <w:r>
        <w:rPr>
          <w:rFonts w:hint="eastAsia" w:ascii="Times New Roman" w:hAnsi="Times New Roman"/>
          <w:szCs w:val="21"/>
        </w:rPr>
        <w:tab/>
      </w:r>
      <w:r>
        <w:rPr>
          <w:rFonts w:hint="eastAsia" w:ascii="Times New Roman" w:hAnsi="Times New Roman"/>
          <w:szCs w:val="21"/>
        </w:rPr>
        <w:t>在安装和调试前，投标人技术服务人员应向招标人技术交底，讲解和示范将要进行的程序和方法。对重要工序</w:t>
      </w:r>
      <w:r>
        <w:rPr>
          <w:rFonts w:ascii="Times New Roman" w:hAnsi="Times New Roman"/>
          <w:szCs w:val="21"/>
        </w:rPr>
        <w:t>(</w:t>
      </w:r>
      <w:r>
        <w:rPr>
          <w:rFonts w:hint="eastAsia" w:ascii="Times New Roman" w:hAnsi="Times New Roman"/>
          <w:szCs w:val="21"/>
        </w:rPr>
        <w:t>见下表</w:t>
      </w:r>
      <w:r>
        <w:rPr>
          <w:rFonts w:ascii="Times New Roman" w:hAnsi="Times New Roman"/>
          <w:szCs w:val="21"/>
        </w:rPr>
        <w:t>)</w:t>
      </w:r>
      <w:r>
        <w:rPr>
          <w:rFonts w:hint="eastAsia" w:ascii="Times New Roman" w:hAnsi="Times New Roman"/>
          <w:szCs w:val="21"/>
        </w:rPr>
        <w:t>，投标人技术人员要对施工情况进行确认和签证，否则招标人不能进行下一道工序。经投标人确认和签证的工序如因投标人技术服务人员指导错误而发生问题，投标人负全部责任。</w:t>
      </w:r>
    </w:p>
    <w:p w14:paraId="26E111B3">
      <w:pPr>
        <w:pStyle w:val="31"/>
        <w:spacing w:line="360" w:lineRule="auto"/>
        <w:rPr>
          <w:rFonts w:ascii="Times New Roman" w:hAnsi="Times New Roman"/>
          <w:szCs w:val="21"/>
        </w:rPr>
      </w:pPr>
      <w:bookmarkStart w:id="61" w:name="_Toc59966838"/>
      <w:r>
        <w:rPr>
          <w:rFonts w:hint="eastAsia" w:ascii="Times New Roman" w:hAnsi="Times New Roman"/>
          <w:szCs w:val="21"/>
        </w:rPr>
        <w:t>投标人提供的安装、调试重要工序表</w:t>
      </w:r>
      <w:bookmarkEnd w:id="61"/>
    </w:p>
    <w:tbl>
      <w:tblPr>
        <w:tblStyle w:val="59"/>
        <w:tblW w:w="0" w:type="auto"/>
        <w:tblInd w:w="0" w:type="dxa"/>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Layout w:type="fixed"/>
        <w:tblCellMar>
          <w:top w:w="0" w:type="dxa"/>
          <w:left w:w="28" w:type="dxa"/>
          <w:bottom w:w="0" w:type="dxa"/>
          <w:right w:w="28" w:type="dxa"/>
        </w:tblCellMar>
      </w:tblPr>
      <w:tblGrid>
        <w:gridCol w:w="768"/>
        <w:gridCol w:w="2786"/>
        <w:gridCol w:w="2787"/>
        <w:gridCol w:w="2787"/>
      </w:tblGrid>
      <w:tr w14:paraId="12359232">
        <w:tblPrEx>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CellMar>
            <w:top w:w="0" w:type="dxa"/>
            <w:left w:w="28" w:type="dxa"/>
            <w:bottom w:w="0" w:type="dxa"/>
            <w:right w:w="28" w:type="dxa"/>
          </w:tblCellMar>
        </w:tblPrEx>
        <w:trPr>
          <w:trHeight w:val="440" w:hRule="exact"/>
        </w:trPr>
        <w:tc>
          <w:tcPr>
            <w:tcW w:w="768" w:type="dxa"/>
            <w:noWrap w:val="0"/>
            <w:vAlign w:val="center"/>
          </w:tcPr>
          <w:p w14:paraId="5EDA9C29">
            <w:pPr>
              <w:pStyle w:val="31"/>
              <w:spacing w:line="360" w:lineRule="auto"/>
              <w:rPr>
                <w:rFonts w:ascii="Times New Roman" w:hAnsi="Times New Roman"/>
                <w:szCs w:val="21"/>
              </w:rPr>
            </w:pPr>
            <w:r>
              <w:rPr>
                <w:rFonts w:hint="eastAsia" w:ascii="Times New Roman" w:hAnsi="Times New Roman"/>
                <w:szCs w:val="21"/>
              </w:rPr>
              <w:t>序号</w:t>
            </w:r>
          </w:p>
        </w:tc>
        <w:tc>
          <w:tcPr>
            <w:tcW w:w="2786" w:type="dxa"/>
            <w:noWrap w:val="0"/>
            <w:vAlign w:val="center"/>
          </w:tcPr>
          <w:p w14:paraId="34D78BB3">
            <w:pPr>
              <w:pStyle w:val="31"/>
              <w:spacing w:line="360" w:lineRule="auto"/>
              <w:rPr>
                <w:rFonts w:ascii="Times New Roman" w:hAnsi="Times New Roman"/>
                <w:szCs w:val="21"/>
              </w:rPr>
            </w:pPr>
            <w:r>
              <w:rPr>
                <w:rFonts w:hint="eastAsia" w:ascii="Times New Roman" w:hAnsi="Times New Roman"/>
                <w:szCs w:val="21"/>
              </w:rPr>
              <w:t>工 序 名 称</w:t>
            </w:r>
          </w:p>
        </w:tc>
        <w:tc>
          <w:tcPr>
            <w:tcW w:w="2787" w:type="dxa"/>
            <w:noWrap w:val="0"/>
            <w:vAlign w:val="center"/>
          </w:tcPr>
          <w:p w14:paraId="53879D8A">
            <w:pPr>
              <w:pStyle w:val="31"/>
              <w:spacing w:line="360" w:lineRule="auto"/>
              <w:rPr>
                <w:rFonts w:ascii="Times New Roman" w:hAnsi="Times New Roman"/>
                <w:szCs w:val="21"/>
              </w:rPr>
            </w:pPr>
            <w:r>
              <w:rPr>
                <w:rFonts w:hint="eastAsia" w:ascii="Times New Roman" w:hAnsi="Times New Roman"/>
                <w:szCs w:val="21"/>
              </w:rPr>
              <w:t>工序主要内容</w:t>
            </w:r>
          </w:p>
        </w:tc>
        <w:tc>
          <w:tcPr>
            <w:tcW w:w="2787" w:type="dxa"/>
            <w:noWrap w:val="0"/>
            <w:vAlign w:val="center"/>
          </w:tcPr>
          <w:p w14:paraId="10A266E9">
            <w:pPr>
              <w:pStyle w:val="31"/>
              <w:spacing w:line="360" w:lineRule="auto"/>
              <w:rPr>
                <w:rFonts w:ascii="Times New Roman" w:hAnsi="Times New Roman"/>
                <w:szCs w:val="21"/>
              </w:rPr>
            </w:pPr>
            <w:r>
              <w:rPr>
                <w:rFonts w:hint="eastAsia" w:ascii="Times New Roman" w:hAnsi="Times New Roman"/>
                <w:szCs w:val="21"/>
              </w:rPr>
              <w:t>备</w:t>
            </w:r>
            <w:r>
              <w:rPr>
                <w:rFonts w:ascii="Times New Roman" w:hAnsi="Times New Roman"/>
                <w:szCs w:val="21"/>
              </w:rPr>
              <w:t xml:space="preserve">    </w:t>
            </w:r>
            <w:r>
              <w:rPr>
                <w:rFonts w:hint="eastAsia" w:ascii="Times New Roman" w:hAnsi="Times New Roman"/>
                <w:szCs w:val="21"/>
              </w:rPr>
              <w:t>注</w:t>
            </w:r>
          </w:p>
        </w:tc>
      </w:tr>
      <w:tr w14:paraId="2D330459">
        <w:tblPrEx>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CellMar>
            <w:top w:w="0" w:type="dxa"/>
            <w:left w:w="28" w:type="dxa"/>
            <w:bottom w:w="0" w:type="dxa"/>
            <w:right w:w="28" w:type="dxa"/>
          </w:tblCellMar>
        </w:tblPrEx>
        <w:trPr>
          <w:trHeight w:val="440" w:hRule="exact"/>
        </w:trPr>
        <w:tc>
          <w:tcPr>
            <w:tcW w:w="768" w:type="dxa"/>
            <w:noWrap w:val="0"/>
            <w:vAlign w:val="center"/>
          </w:tcPr>
          <w:p w14:paraId="0CDA519A">
            <w:pPr>
              <w:pStyle w:val="31"/>
              <w:spacing w:line="360" w:lineRule="auto"/>
              <w:rPr>
                <w:rFonts w:ascii="Times New Roman" w:hAnsi="Times New Roman"/>
                <w:szCs w:val="21"/>
              </w:rPr>
            </w:pPr>
          </w:p>
        </w:tc>
        <w:tc>
          <w:tcPr>
            <w:tcW w:w="2786" w:type="dxa"/>
            <w:noWrap w:val="0"/>
            <w:vAlign w:val="center"/>
          </w:tcPr>
          <w:p w14:paraId="6D2141A2">
            <w:pPr>
              <w:pStyle w:val="31"/>
              <w:spacing w:line="360" w:lineRule="auto"/>
              <w:rPr>
                <w:rFonts w:ascii="Times New Roman" w:hAnsi="Times New Roman"/>
                <w:szCs w:val="21"/>
              </w:rPr>
            </w:pPr>
          </w:p>
        </w:tc>
        <w:tc>
          <w:tcPr>
            <w:tcW w:w="2787" w:type="dxa"/>
            <w:noWrap w:val="0"/>
            <w:vAlign w:val="center"/>
          </w:tcPr>
          <w:p w14:paraId="28871E14">
            <w:pPr>
              <w:pStyle w:val="31"/>
              <w:spacing w:line="360" w:lineRule="auto"/>
              <w:rPr>
                <w:rFonts w:ascii="Times New Roman" w:hAnsi="Times New Roman"/>
                <w:szCs w:val="21"/>
              </w:rPr>
            </w:pPr>
          </w:p>
        </w:tc>
        <w:tc>
          <w:tcPr>
            <w:tcW w:w="2787" w:type="dxa"/>
            <w:noWrap w:val="0"/>
            <w:vAlign w:val="center"/>
          </w:tcPr>
          <w:p w14:paraId="41503D0D">
            <w:pPr>
              <w:pStyle w:val="31"/>
              <w:spacing w:line="360" w:lineRule="auto"/>
              <w:rPr>
                <w:rFonts w:ascii="Times New Roman" w:hAnsi="Times New Roman"/>
                <w:szCs w:val="21"/>
              </w:rPr>
            </w:pPr>
          </w:p>
        </w:tc>
      </w:tr>
      <w:tr w14:paraId="1564AAF7">
        <w:tblPrEx>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CellMar>
            <w:top w:w="0" w:type="dxa"/>
            <w:left w:w="28" w:type="dxa"/>
            <w:bottom w:w="0" w:type="dxa"/>
            <w:right w:w="28" w:type="dxa"/>
          </w:tblCellMar>
        </w:tblPrEx>
        <w:trPr>
          <w:trHeight w:val="440" w:hRule="exact"/>
        </w:trPr>
        <w:tc>
          <w:tcPr>
            <w:tcW w:w="768" w:type="dxa"/>
            <w:noWrap w:val="0"/>
            <w:vAlign w:val="center"/>
          </w:tcPr>
          <w:p w14:paraId="7982987C">
            <w:pPr>
              <w:pStyle w:val="31"/>
              <w:spacing w:line="360" w:lineRule="auto"/>
              <w:rPr>
                <w:rFonts w:ascii="Times New Roman" w:hAnsi="Times New Roman"/>
                <w:szCs w:val="21"/>
              </w:rPr>
            </w:pPr>
          </w:p>
        </w:tc>
        <w:tc>
          <w:tcPr>
            <w:tcW w:w="2786" w:type="dxa"/>
            <w:noWrap w:val="0"/>
            <w:vAlign w:val="center"/>
          </w:tcPr>
          <w:p w14:paraId="2ED54D9F">
            <w:pPr>
              <w:pStyle w:val="31"/>
              <w:spacing w:line="360" w:lineRule="auto"/>
              <w:rPr>
                <w:rFonts w:ascii="Times New Roman" w:hAnsi="Times New Roman"/>
                <w:szCs w:val="21"/>
              </w:rPr>
            </w:pPr>
          </w:p>
        </w:tc>
        <w:tc>
          <w:tcPr>
            <w:tcW w:w="2787" w:type="dxa"/>
            <w:noWrap w:val="0"/>
            <w:vAlign w:val="center"/>
          </w:tcPr>
          <w:p w14:paraId="6EA9BB47">
            <w:pPr>
              <w:pStyle w:val="31"/>
              <w:spacing w:line="360" w:lineRule="auto"/>
              <w:rPr>
                <w:rFonts w:ascii="Times New Roman" w:hAnsi="Times New Roman"/>
                <w:szCs w:val="21"/>
              </w:rPr>
            </w:pPr>
          </w:p>
        </w:tc>
        <w:tc>
          <w:tcPr>
            <w:tcW w:w="2787" w:type="dxa"/>
            <w:noWrap w:val="0"/>
            <w:vAlign w:val="center"/>
          </w:tcPr>
          <w:p w14:paraId="21C8E076">
            <w:pPr>
              <w:pStyle w:val="31"/>
              <w:spacing w:line="360" w:lineRule="auto"/>
              <w:rPr>
                <w:rFonts w:ascii="Times New Roman" w:hAnsi="Times New Roman"/>
                <w:szCs w:val="21"/>
              </w:rPr>
            </w:pPr>
          </w:p>
        </w:tc>
      </w:tr>
      <w:tr w14:paraId="2796D16E">
        <w:tblPrEx>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CellMar>
            <w:top w:w="0" w:type="dxa"/>
            <w:left w:w="28" w:type="dxa"/>
            <w:bottom w:w="0" w:type="dxa"/>
            <w:right w:w="28" w:type="dxa"/>
          </w:tblCellMar>
        </w:tblPrEx>
        <w:trPr>
          <w:trHeight w:val="440" w:hRule="exact"/>
        </w:trPr>
        <w:tc>
          <w:tcPr>
            <w:tcW w:w="768" w:type="dxa"/>
            <w:noWrap w:val="0"/>
            <w:vAlign w:val="center"/>
          </w:tcPr>
          <w:p w14:paraId="4951C25E">
            <w:pPr>
              <w:pStyle w:val="31"/>
              <w:spacing w:line="360" w:lineRule="auto"/>
              <w:rPr>
                <w:rFonts w:ascii="Times New Roman" w:hAnsi="Times New Roman"/>
                <w:szCs w:val="21"/>
              </w:rPr>
            </w:pPr>
          </w:p>
        </w:tc>
        <w:tc>
          <w:tcPr>
            <w:tcW w:w="2786" w:type="dxa"/>
            <w:noWrap w:val="0"/>
            <w:vAlign w:val="center"/>
          </w:tcPr>
          <w:p w14:paraId="695A7FE4">
            <w:pPr>
              <w:pStyle w:val="31"/>
              <w:spacing w:line="360" w:lineRule="auto"/>
              <w:rPr>
                <w:rFonts w:ascii="Times New Roman" w:hAnsi="Times New Roman"/>
                <w:szCs w:val="21"/>
              </w:rPr>
            </w:pPr>
          </w:p>
        </w:tc>
        <w:tc>
          <w:tcPr>
            <w:tcW w:w="2787" w:type="dxa"/>
            <w:noWrap w:val="0"/>
            <w:vAlign w:val="center"/>
          </w:tcPr>
          <w:p w14:paraId="4AE64FB2">
            <w:pPr>
              <w:pStyle w:val="31"/>
              <w:spacing w:line="360" w:lineRule="auto"/>
              <w:rPr>
                <w:rFonts w:ascii="Times New Roman" w:hAnsi="Times New Roman"/>
                <w:szCs w:val="21"/>
              </w:rPr>
            </w:pPr>
          </w:p>
        </w:tc>
        <w:tc>
          <w:tcPr>
            <w:tcW w:w="2787" w:type="dxa"/>
            <w:noWrap w:val="0"/>
            <w:vAlign w:val="center"/>
          </w:tcPr>
          <w:p w14:paraId="3EE66373">
            <w:pPr>
              <w:pStyle w:val="31"/>
              <w:spacing w:line="360" w:lineRule="auto"/>
              <w:rPr>
                <w:rFonts w:ascii="Times New Roman" w:hAnsi="Times New Roman"/>
                <w:szCs w:val="21"/>
              </w:rPr>
            </w:pPr>
          </w:p>
        </w:tc>
      </w:tr>
    </w:tbl>
    <w:p w14:paraId="79C2CF9B">
      <w:pPr>
        <w:pStyle w:val="31"/>
        <w:spacing w:line="360"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3.3</w:t>
      </w:r>
      <w:r>
        <w:rPr>
          <w:rFonts w:hint="eastAsia" w:ascii="Times New Roman" w:hAnsi="Times New Roman"/>
          <w:szCs w:val="21"/>
        </w:rPr>
        <w:tab/>
      </w:r>
      <w:r>
        <w:rPr>
          <w:rFonts w:hint="eastAsia" w:ascii="Times New Roman" w:hAnsi="Times New Roman"/>
          <w:szCs w:val="21"/>
        </w:rPr>
        <w:t>投标人现场服务人员应有权全权处理现场出现的一切技术和商务问题。如现场发生质量问题，投标人现场人员要在招标人规定的时间内处理解决。如投标人委托招标人进行处理，投标人现场服务人员要出委托书并承担相应的责任。</w:t>
      </w:r>
    </w:p>
    <w:p w14:paraId="042D9A56">
      <w:pPr>
        <w:pStyle w:val="31"/>
        <w:spacing w:line="360"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3.4</w:t>
      </w:r>
      <w:r>
        <w:rPr>
          <w:rFonts w:hint="eastAsia" w:ascii="Times New Roman" w:hAnsi="Times New Roman"/>
          <w:szCs w:val="21"/>
        </w:rPr>
        <w:tab/>
      </w:r>
      <w:r>
        <w:rPr>
          <w:rFonts w:hint="eastAsia" w:ascii="Times New Roman" w:hAnsi="Times New Roman"/>
          <w:szCs w:val="21"/>
        </w:rPr>
        <w:t>投标人对其现场服务人员的一切行为负全部责任。</w:t>
      </w:r>
    </w:p>
    <w:p w14:paraId="1FABBF94">
      <w:pPr>
        <w:pStyle w:val="31"/>
        <w:spacing w:line="360"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3.5</w:t>
      </w:r>
      <w:r>
        <w:rPr>
          <w:rFonts w:hint="eastAsia" w:ascii="Times New Roman" w:hAnsi="Times New Roman"/>
          <w:szCs w:val="21"/>
        </w:rPr>
        <w:tab/>
      </w:r>
      <w:r>
        <w:rPr>
          <w:rFonts w:hint="eastAsia" w:ascii="Times New Roman" w:hAnsi="Times New Roman"/>
          <w:szCs w:val="21"/>
        </w:rPr>
        <w:t>投标人现场服务人员的正常来去和更换事先应与招标人协商。</w:t>
      </w:r>
    </w:p>
    <w:p w14:paraId="44EF88A9">
      <w:pPr>
        <w:pStyle w:val="31"/>
        <w:spacing w:line="360"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4</w:t>
      </w:r>
      <w:r>
        <w:rPr>
          <w:rFonts w:hint="eastAsia" w:ascii="Times New Roman" w:hAnsi="Times New Roman"/>
          <w:szCs w:val="21"/>
        </w:rPr>
        <w:tab/>
      </w:r>
      <w:r>
        <w:rPr>
          <w:rFonts w:hint="eastAsia" w:ascii="Times New Roman" w:hAnsi="Times New Roman"/>
          <w:szCs w:val="21"/>
        </w:rPr>
        <w:t>招标人的义务</w:t>
      </w:r>
    </w:p>
    <w:p w14:paraId="6CF1719E">
      <w:pPr>
        <w:pStyle w:val="31"/>
        <w:spacing w:line="360" w:lineRule="auto"/>
        <w:rPr>
          <w:rFonts w:ascii="Times New Roman" w:hAnsi="Times New Roman"/>
          <w:szCs w:val="21"/>
        </w:rPr>
      </w:pPr>
      <w:r>
        <w:rPr>
          <w:rFonts w:hint="eastAsia" w:ascii="Times New Roman" w:hAnsi="Times New Roman"/>
          <w:szCs w:val="21"/>
        </w:rPr>
        <w:t>招标人要配合投标人现场服务人员的工作，并在生活、交通和通讯上提投标人便。</w:t>
      </w:r>
    </w:p>
    <w:p w14:paraId="6B23F2F2">
      <w:pPr>
        <w:pStyle w:val="31"/>
        <w:spacing w:line="360" w:lineRule="auto"/>
        <w:outlineLvl w:val="0"/>
        <w:rPr>
          <w:rFonts w:ascii="Times New Roman" w:hAnsi="Times New Roman"/>
          <w:szCs w:val="21"/>
        </w:rPr>
      </w:pPr>
      <w:bookmarkStart w:id="62" w:name="_Toc264037171"/>
      <w:r>
        <w:rPr>
          <w:rFonts w:ascii="Times New Roman" w:hAnsi="Times New Roman"/>
          <w:szCs w:val="21"/>
        </w:rPr>
        <w:t>2</w:t>
      </w:r>
      <w:r>
        <w:rPr>
          <w:rFonts w:hint="eastAsia" w:ascii="Times New Roman" w:hAnsi="Times New Roman"/>
          <w:szCs w:val="21"/>
        </w:rPr>
        <w:tab/>
      </w:r>
      <w:r>
        <w:rPr>
          <w:rFonts w:hint="eastAsia" w:ascii="Times New Roman" w:hAnsi="Times New Roman"/>
          <w:szCs w:val="21"/>
        </w:rPr>
        <w:t xml:space="preserve">  培训</w:t>
      </w:r>
      <w:bookmarkEnd w:id="62"/>
    </w:p>
    <w:p w14:paraId="595F95AC">
      <w:pPr>
        <w:pStyle w:val="31"/>
        <w:spacing w:line="360" w:lineRule="auto"/>
        <w:rPr>
          <w:rFonts w:ascii="Times New Roman" w:hAnsi="Times New Roman"/>
          <w:szCs w:val="21"/>
        </w:rPr>
      </w:pPr>
      <w:r>
        <w:rPr>
          <w:rFonts w:ascii="Times New Roman" w:hAnsi="Times New Roman"/>
          <w:szCs w:val="21"/>
        </w:rPr>
        <w:t>2.1</w:t>
      </w:r>
      <w:r>
        <w:rPr>
          <w:rFonts w:hint="eastAsia" w:ascii="Times New Roman" w:hAnsi="Times New Roman"/>
          <w:szCs w:val="21"/>
        </w:rPr>
        <w:tab/>
      </w:r>
      <w:r>
        <w:rPr>
          <w:rFonts w:hint="eastAsia" w:ascii="Times New Roman" w:hAnsi="Times New Roman"/>
          <w:szCs w:val="21"/>
          <w:lang w:val="en-US" w:eastAsia="zh-CN"/>
        </w:rPr>
        <w:t xml:space="preserve">  </w:t>
      </w:r>
      <w:r>
        <w:rPr>
          <w:rFonts w:hint="eastAsia" w:ascii="Times New Roman" w:hAnsi="Times New Roman"/>
          <w:szCs w:val="21"/>
        </w:rPr>
        <w:t>为使合同设备能正常安装和运行，投标人有责任提供相应的技术培训。培训内容应与工程进度相一致。</w:t>
      </w:r>
    </w:p>
    <w:p w14:paraId="5B65F71A">
      <w:pPr>
        <w:pStyle w:val="31"/>
        <w:spacing w:line="360" w:lineRule="auto"/>
        <w:rPr>
          <w:rFonts w:ascii="Times New Roman" w:hAnsi="Times New Roman"/>
          <w:szCs w:val="21"/>
        </w:rPr>
      </w:pPr>
      <w:r>
        <w:rPr>
          <w:rFonts w:ascii="Times New Roman" w:hAnsi="Times New Roman"/>
          <w:szCs w:val="21"/>
        </w:rPr>
        <w:t>2.2</w:t>
      </w:r>
      <w:r>
        <w:rPr>
          <w:rFonts w:hint="eastAsia" w:ascii="Times New Roman" w:hAnsi="Times New Roman"/>
          <w:szCs w:val="21"/>
        </w:rPr>
        <w:tab/>
      </w:r>
      <w:r>
        <w:rPr>
          <w:rFonts w:hint="eastAsia" w:ascii="Times New Roman" w:hAnsi="Times New Roman"/>
          <w:szCs w:val="21"/>
        </w:rPr>
        <w:t>培训计划和内容由投标人在投标文件中列出（格式）。</w:t>
      </w:r>
    </w:p>
    <w:tbl>
      <w:tblPr>
        <w:tblStyle w:val="59"/>
        <w:tblW w:w="0" w:type="auto"/>
        <w:tblInd w:w="2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500"/>
        <w:gridCol w:w="1880"/>
        <w:gridCol w:w="1880"/>
        <w:gridCol w:w="830"/>
        <w:gridCol w:w="830"/>
        <w:gridCol w:w="940"/>
        <w:gridCol w:w="2239"/>
      </w:tblGrid>
      <w:tr w14:paraId="5D6891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trPr>
        <w:tc>
          <w:tcPr>
            <w:tcW w:w="500" w:type="dxa"/>
            <w:vMerge w:val="restart"/>
            <w:tcBorders>
              <w:top w:val="single" w:color="auto" w:sz="8" w:space="0"/>
              <w:left w:val="single" w:color="auto" w:sz="8" w:space="0"/>
              <w:bottom w:val="nil"/>
            </w:tcBorders>
            <w:noWrap w:val="0"/>
            <w:vAlign w:val="center"/>
          </w:tcPr>
          <w:p w14:paraId="752604A3">
            <w:pPr>
              <w:pStyle w:val="31"/>
              <w:spacing w:line="360" w:lineRule="auto"/>
              <w:rPr>
                <w:rFonts w:hint="eastAsia" w:ascii="Times New Roman" w:hAnsi="Times New Roman"/>
                <w:szCs w:val="21"/>
              </w:rPr>
            </w:pPr>
            <w:r>
              <w:rPr>
                <w:rFonts w:hint="eastAsia" w:ascii="Times New Roman" w:hAnsi="Times New Roman"/>
                <w:szCs w:val="21"/>
              </w:rPr>
              <w:t>序</w:t>
            </w:r>
          </w:p>
          <w:p w14:paraId="68819ECC">
            <w:pPr>
              <w:pStyle w:val="31"/>
              <w:spacing w:line="360" w:lineRule="auto"/>
              <w:rPr>
                <w:rFonts w:hint="eastAsia" w:ascii="Times New Roman" w:hAnsi="Times New Roman"/>
                <w:szCs w:val="21"/>
              </w:rPr>
            </w:pPr>
            <w:r>
              <w:rPr>
                <w:rFonts w:hint="eastAsia" w:ascii="Times New Roman" w:hAnsi="Times New Roman"/>
                <w:szCs w:val="21"/>
              </w:rPr>
              <w:t>号</w:t>
            </w:r>
          </w:p>
        </w:tc>
        <w:tc>
          <w:tcPr>
            <w:tcW w:w="1880" w:type="dxa"/>
            <w:vMerge w:val="restart"/>
            <w:tcBorders>
              <w:top w:val="single" w:color="auto" w:sz="8" w:space="0"/>
              <w:bottom w:val="nil"/>
            </w:tcBorders>
            <w:noWrap w:val="0"/>
            <w:vAlign w:val="center"/>
          </w:tcPr>
          <w:p w14:paraId="61931218">
            <w:pPr>
              <w:pStyle w:val="31"/>
              <w:spacing w:line="360" w:lineRule="auto"/>
              <w:rPr>
                <w:rFonts w:hint="eastAsia" w:ascii="Times New Roman" w:hAnsi="Times New Roman"/>
                <w:szCs w:val="21"/>
              </w:rPr>
            </w:pPr>
            <w:r>
              <w:rPr>
                <w:rFonts w:hint="eastAsia" w:ascii="Times New Roman" w:hAnsi="Times New Roman"/>
                <w:szCs w:val="21"/>
              </w:rPr>
              <w:t>培训内容</w:t>
            </w:r>
          </w:p>
        </w:tc>
        <w:tc>
          <w:tcPr>
            <w:tcW w:w="1880" w:type="dxa"/>
            <w:vMerge w:val="restart"/>
            <w:tcBorders>
              <w:top w:val="single" w:color="auto" w:sz="8" w:space="0"/>
              <w:bottom w:val="nil"/>
            </w:tcBorders>
            <w:noWrap w:val="0"/>
            <w:vAlign w:val="center"/>
          </w:tcPr>
          <w:p w14:paraId="601AC303">
            <w:pPr>
              <w:pStyle w:val="31"/>
              <w:spacing w:line="360" w:lineRule="auto"/>
              <w:rPr>
                <w:rFonts w:hint="eastAsia" w:ascii="Times New Roman" w:hAnsi="Times New Roman"/>
                <w:szCs w:val="21"/>
              </w:rPr>
            </w:pPr>
            <w:r>
              <w:rPr>
                <w:rFonts w:hint="eastAsia" w:ascii="Times New Roman" w:hAnsi="Times New Roman"/>
                <w:szCs w:val="21"/>
              </w:rPr>
              <w:t>计划人月数</w:t>
            </w:r>
          </w:p>
        </w:tc>
        <w:tc>
          <w:tcPr>
            <w:tcW w:w="1660" w:type="dxa"/>
            <w:gridSpan w:val="2"/>
            <w:tcBorders>
              <w:top w:val="single" w:color="auto" w:sz="8" w:space="0"/>
            </w:tcBorders>
            <w:noWrap w:val="0"/>
            <w:vAlign w:val="center"/>
          </w:tcPr>
          <w:p w14:paraId="27DEE38A">
            <w:pPr>
              <w:pStyle w:val="31"/>
              <w:spacing w:line="360" w:lineRule="auto"/>
              <w:rPr>
                <w:rFonts w:ascii="Times New Roman" w:hAnsi="Times New Roman"/>
                <w:szCs w:val="21"/>
              </w:rPr>
            </w:pPr>
            <w:r>
              <w:rPr>
                <w:rFonts w:hint="eastAsia" w:ascii="Times New Roman" w:hAnsi="Times New Roman"/>
                <w:szCs w:val="21"/>
              </w:rPr>
              <w:t>培训教师构成</w:t>
            </w:r>
          </w:p>
        </w:tc>
        <w:tc>
          <w:tcPr>
            <w:tcW w:w="940" w:type="dxa"/>
            <w:vMerge w:val="restart"/>
            <w:tcBorders>
              <w:top w:val="single" w:color="auto" w:sz="8" w:space="0"/>
              <w:bottom w:val="nil"/>
            </w:tcBorders>
            <w:noWrap w:val="0"/>
            <w:vAlign w:val="center"/>
          </w:tcPr>
          <w:p w14:paraId="7E718DE4">
            <w:pPr>
              <w:pStyle w:val="31"/>
              <w:spacing w:line="360" w:lineRule="auto"/>
              <w:rPr>
                <w:rFonts w:hint="eastAsia" w:ascii="Times New Roman" w:hAnsi="Times New Roman"/>
                <w:szCs w:val="21"/>
              </w:rPr>
            </w:pPr>
            <w:r>
              <w:rPr>
                <w:rFonts w:hint="eastAsia" w:ascii="Times New Roman" w:hAnsi="Times New Roman"/>
                <w:szCs w:val="21"/>
              </w:rPr>
              <w:t>地点</w:t>
            </w:r>
          </w:p>
        </w:tc>
        <w:tc>
          <w:tcPr>
            <w:tcW w:w="2239" w:type="dxa"/>
            <w:vMerge w:val="restart"/>
            <w:tcBorders>
              <w:top w:val="single" w:color="auto" w:sz="8" w:space="0"/>
              <w:bottom w:val="nil"/>
              <w:right w:val="single" w:color="auto" w:sz="8" w:space="0"/>
            </w:tcBorders>
            <w:noWrap w:val="0"/>
            <w:vAlign w:val="center"/>
          </w:tcPr>
          <w:p w14:paraId="3FA3D705">
            <w:pPr>
              <w:pStyle w:val="31"/>
              <w:spacing w:line="360" w:lineRule="auto"/>
              <w:rPr>
                <w:rFonts w:hint="eastAsia" w:ascii="Times New Roman" w:hAnsi="Times New Roman"/>
                <w:szCs w:val="21"/>
              </w:rPr>
            </w:pPr>
            <w:r>
              <w:rPr>
                <w:rFonts w:hint="eastAsia" w:ascii="Times New Roman" w:hAnsi="Times New Roman"/>
                <w:szCs w:val="21"/>
              </w:rPr>
              <w:t>备  注</w:t>
            </w:r>
          </w:p>
        </w:tc>
      </w:tr>
      <w:tr w14:paraId="3B925DD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40" w:hRule="exact"/>
        </w:trPr>
        <w:tc>
          <w:tcPr>
            <w:tcW w:w="500" w:type="dxa"/>
            <w:vMerge w:val="continue"/>
            <w:tcBorders>
              <w:top w:val="nil"/>
              <w:left w:val="single" w:color="auto" w:sz="8" w:space="0"/>
              <w:bottom w:val="single" w:color="000000" w:sz="6" w:space="0"/>
            </w:tcBorders>
            <w:noWrap w:val="0"/>
            <w:vAlign w:val="center"/>
          </w:tcPr>
          <w:p w14:paraId="41474A9E">
            <w:pPr>
              <w:pStyle w:val="31"/>
              <w:spacing w:line="360" w:lineRule="auto"/>
              <w:rPr>
                <w:rFonts w:ascii="Times New Roman" w:hAnsi="Times New Roman"/>
                <w:szCs w:val="21"/>
              </w:rPr>
            </w:pPr>
          </w:p>
        </w:tc>
        <w:tc>
          <w:tcPr>
            <w:tcW w:w="1880" w:type="dxa"/>
            <w:vMerge w:val="continue"/>
            <w:tcBorders>
              <w:top w:val="nil"/>
              <w:bottom w:val="single" w:color="000000" w:sz="6" w:space="0"/>
            </w:tcBorders>
            <w:noWrap w:val="0"/>
            <w:vAlign w:val="center"/>
          </w:tcPr>
          <w:p w14:paraId="3B606699">
            <w:pPr>
              <w:pStyle w:val="31"/>
              <w:spacing w:line="360" w:lineRule="auto"/>
              <w:rPr>
                <w:rFonts w:ascii="Times New Roman" w:hAnsi="Times New Roman"/>
                <w:szCs w:val="21"/>
              </w:rPr>
            </w:pPr>
          </w:p>
        </w:tc>
        <w:tc>
          <w:tcPr>
            <w:tcW w:w="1880" w:type="dxa"/>
            <w:vMerge w:val="continue"/>
            <w:tcBorders>
              <w:top w:val="nil"/>
              <w:bottom w:val="single" w:color="000000" w:sz="6" w:space="0"/>
            </w:tcBorders>
            <w:noWrap w:val="0"/>
            <w:vAlign w:val="center"/>
          </w:tcPr>
          <w:p w14:paraId="2EFB8556">
            <w:pPr>
              <w:pStyle w:val="31"/>
              <w:spacing w:line="360" w:lineRule="auto"/>
              <w:rPr>
                <w:rFonts w:ascii="Times New Roman" w:hAnsi="Times New Roman"/>
                <w:szCs w:val="21"/>
              </w:rPr>
            </w:pPr>
          </w:p>
        </w:tc>
        <w:tc>
          <w:tcPr>
            <w:tcW w:w="830" w:type="dxa"/>
            <w:noWrap w:val="0"/>
            <w:vAlign w:val="center"/>
          </w:tcPr>
          <w:p w14:paraId="295BF173">
            <w:pPr>
              <w:pStyle w:val="31"/>
              <w:spacing w:line="360" w:lineRule="auto"/>
              <w:rPr>
                <w:rFonts w:ascii="Times New Roman" w:hAnsi="Times New Roman"/>
                <w:szCs w:val="21"/>
              </w:rPr>
            </w:pPr>
            <w:r>
              <w:rPr>
                <w:rFonts w:hint="eastAsia" w:ascii="Times New Roman" w:hAnsi="Times New Roman"/>
                <w:szCs w:val="21"/>
              </w:rPr>
              <w:t>职称</w:t>
            </w:r>
          </w:p>
        </w:tc>
        <w:tc>
          <w:tcPr>
            <w:tcW w:w="830" w:type="dxa"/>
            <w:noWrap w:val="0"/>
            <w:vAlign w:val="center"/>
          </w:tcPr>
          <w:p w14:paraId="4EE7BA28">
            <w:pPr>
              <w:pStyle w:val="31"/>
              <w:spacing w:line="360" w:lineRule="auto"/>
              <w:rPr>
                <w:rFonts w:ascii="Times New Roman" w:hAnsi="Times New Roman"/>
                <w:szCs w:val="21"/>
              </w:rPr>
            </w:pPr>
            <w:r>
              <w:rPr>
                <w:rFonts w:hint="eastAsia" w:ascii="Times New Roman" w:hAnsi="Times New Roman"/>
                <w:szCs w:val="21"/>
              </w:rPr>
              <w:t>人数</w:t>
            </w:r>
          </w:p>
        </w:tc>
        <w:tc>
          <w:tcPr>
            <w:tcW w:w="940" w:type="dxa"/>
            <w:vMerge w:val="continue"/>
            <w:tcBorders>
              <w:top w:val="nil"/>
              <w:bottom w:val="single" w:color="000000" w:sz="6" w:space="0"/>
            </w:tcBorders>
            <w:noWrap w:val="0"/>
            <w:vAlign w:val="center"/>
          </w:tcPr>
          <w:p w14:paraId="20F26967">
            <w:pPr>
              <w:pStyle w:val="31"/>
              <w:spacing w:line="360" w:lineRule="auto"/>
              <w:rPr>
                <w:rFonts w:ascii="Times New Roman" w:hAnsi="Times New Roman"/>
                <w:szCs w:val="21"/>
              </w:rPr>
            </w:pPr>
          </w:p>
        </w:tc>
        <w:tc>
          <w:tcPr>
            <w:tcW w:w="2239" w:type="dxa"/>
            <w:vMerge w:val="continue"/>
            <w:tcBorders>
              <w:top w:val="nil"/>
              <w:bottom w:val="single" w:color="000000" w:sz="6" w:space="0"/>
              <w:right w:val="single" w:color="auto" w:sz="8" w:space="0"/>
            </w:tcBorders>
            <w:noWrap w:val="0"/>
            <w:vAlign w:val="center"/>
          </w:tcPr>
          <w:p w14:paraId="59D8846D">
            <w:pPr>
              <w:pStyle w:val="31"/>
              <w:spacing w:line="360" w:lineRule="auto"/>
              <w:rPr>
                <w:rFonts w:ascii="Times New Roman" w:hAnsi="Times New Roman"/>
                <w:szCs w:val="21"/>
              </w:rPr>
            </w:pPr>
          </w:p>
        </w:tc>
      </w:tr>
      <w:tr w14:paraId="18530C8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500" w:hRule="exact"/>
        </w:trPr>
        <w:tc>
          <w:tcPr>
            <w:tcW w:w="500" w:type="dxa"/>
            <w:tcBorders>
              <w:top w:val="nil"/>
              <w:left w:val="single" w:color="auto" w:sz="8" w:space="0"/>
            </w:tcBorders>
            <w:noWrap w:val="0"/>
            <w:vAlign w:val="center"/>
          </w:tcPr>
          <w:p w14:paraId="4155E3F8">
            <w:pPr>
              <w:pStyle w:val="31"/>
              <w:spacing w:line="360" w:lineRule="auto"/>
              <w:rPr>
                <w:rFonts w:ascii="Times New Roman" w:hAnsi="Times New Roman"/>
                <w:szCs w:val="21"/>
              </w:rPr>
            </w:pPr>
          </w:p>
        </w:tc>
        <w:tc>
          <w:tcPr>
            <w:tcW w:w="1880" w:type="dxa"/>
            <w:tcBorders>
              <w:top w:val="nil"/>
            </w:tcBorders>
            <w:noWrap w:val="0"/>
            <w:vAlign w:val="center"/>
          </w:tcPr>
          <w:p w14:paraId="35481358">
            <w:pPr>
              <w:pStyle w:val="31"/>
              <w:spacing w:line="360" w:lineRule="auto"/>
              <w:rPr>
                <w:rFonts w:ascii="Times New Roman" w:hAnsi="Times New Roman"/>
                <w:szCs w:val="21"/>
              </w:rPr>
            </w:pPr>
          </w:p>
        </w:tc>
        <w:tc>
          <w:tcPr>
            <w:tcW w:w="1880" w:type="dxa"/>
            <w:tcBorders>
              <w:top w:val="nil"/>
            </w:tcBorders>
            <w:noWrap w:val="0"/>
            <w:vAlign w:val="center"/>
          </w:tcPr>
          <w:p w14:paraId="133E16E8">
            <w:pPr>
              <w:pStyle w:val="31"/>
              <w:spacing w:line="360" w:lineRule="auto"/>
              <w:rPr>
                <w:rFonts w:ascii="Times New Roman" w:hAnsi="Times New Roman"/>
                <w:szCs w:val="21"/>
              </w:rPr>
            </w:pPr>
          </w:p>
        </w:tc>
        <w:tc>
          <w:tcPr>
            <w:tcW w:w="830" w:type="dxa"/>
            <w:noWrap w:val="0"/>
            <w:vAlign w:val="center"/>
          </w:tcPr>
          <w:p w14:paraId="75221314">
            <w:pPr>
              <w:pStyle w:val="31"/>
              <w:spacing w:line="360" w:lineRule="auto"/>
              <w:rPr>
                <w:rFonts w:ascii="Times New Roman" w:hAnsi="Times New Roman"/>
                <w:szCs w:val="21"/>
              </w:rPr>
            </w:pPr>
          </w:p>
        </w:tc>
        <w:tc>
          <w:tcPr>
            <w:tcW w:w="830" w:type="dxa"/>
            <w:noWrap w:val="0"/>
            <w:vAlign w:val="center"/>
          </w:tcPr>
          <w:p w14:paraId="2AC32EFC">
            <w:pPr>
              <w:pStyle w:val="31"/>
              <w:spacing w:line="360" w:lineRule="auto"/>
              <w:rPr>
                <w:rFonts w:ascii="Times New Roman" w:hAnsi="Times New Roman"/>
                <w:szCs w:val="21"/>
              </w:rPr>
            </w:pPr>
          </w:p>
        </w:tc>
        <w:tc>
          <w:tcPr>
            <w:tcW w:w="940" w:type="dxa"/>
            <w:tcBorders>
              <w:top w:val="nil"/>
            </w:tcBorders>
            <w:noWrap w:val="0"/>
            <w:vAlign w:val="center"/>
          </w:tcPr>
          <w:p w14:paraId="16D438EA">
            <w:pPr>
              <w:pStyle w:val="31"/>
              <w:spacing w:line="360" w:lineRule="auto"/>
              <w:rPr>
                <w:rFonts w:ascii="Times New Roman" w:hAnsi="Times New Roman"/>
                <w:szCs w:val="21"/>
              </w:rPr>
            </w:pPr>
          </w:p>
        </w:tc>
        <w:tc>
          <w:tcPr>
            <w:tcW w:w="2239" w:type="dxa"/>
            <w:tcBorders>
              <w:top w:val="nil"/>
              <w:right w:val="single" w:color="auto" w:sz="8" w:space="0"/>
            </w:tcBorders>
            <w:noWrap w:val="0"/>
            <w:vAlign w:val="center"/>
          </w:tcPr>
          <w:p w14:paraId="0257370F">
            <w:pPr>
              <w:pStyle w:val="31"/>
              <w:spacing w:line="360" w:lineRule="auto"/>
              <w:rPr>
                <w:rFonts w:ascii="Times New Roman" w:hAnsi="Times New Roman"/>
                <w:szCs w:val="21"/>
              </w:rPr>
            </w:pPr>
          </w:p>
        </w:tc>
      </w:tr>
      <w:tr w14:paraId="4B63477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500" w:hRule="exact"/>
        </w:trPr>
        <w:tc>
          <w:tcPr>
            <w:tcW w:w="500" w:type="dxa"/>
            <w:tcBorders>
              <w:left w:val="single" w:color="auto" w:sz="8" w:space="0"/>
            </w:tcBorders>
            <w:noWrap w:val="0"/>
            <w:vAlign w:val="center"/>
          </w:tcPr>
          <w:p w14:paraId="750EF7F6">
            <w:pPr>
              <w:pStyle w:val="31"/>
              <w:spacing w:line="360" w:lineRule="auto"/>
              <w:rPr>
                <w:rFonts w:ascii="Times New Roman" w:hAnsi="Times New Roman"/>
                <w:szCs w:val="21"/>
              </w:rPr>
            </w:pPr>
          </w:p>
        </w:tc>
        <w:tc>
          <w:tcPr>
            <w:tcW w:w="1880" w:type="dxa"/>
            <w:noWrap w:val="0"/>
            <w:vAlign w:val="center"/>
          </w:tcPr>
          <w:p w14:paraId="0A5EF732">
            <w:pPr>
              <w:pStyle w:val="31"/>
              <w:spacing w:line="360" w:lineRule="auto"/>
              <w:rPr>
                <w:rFonts w:ascii="Times New Roman" w:hAnsi="Times New Roman"/>
                <w:szCs w:val="21"/>
              </w:rPr>
            </w:pPr>
          </w:p>
        </w:tc>
        <w:tc>
          <w:tcPr>
            <w:tcW w:w="1880" w:type="dxa"/>
            <w:noWrap w:val="0"/>
            <w:vAlign w:val="center"/>
          </w:tcPr>
          <w:p w14:paraId="20F58339">
            <w:pPr>
              <w:pStyle w:val="31"/>
              <w:spacing w:line="360" w:lineRule="auto"/>
              <w:rPr>
                <w:rFonts w:ascii="Times New Roman" w:hAnsi="Times New Roman"/>
                <w:szCs w:val="21"/>
              </w:rPr>
            </w:pPr>
          </w:p>
        </w:tc>
        <w:tc>
          <w:tcPr>
            <w:tcW w:w="830" w:type="dxa"/>
            <w:noWrap w:val="0"/>
            <w:vAlign w:val="center"/>
          </w:tcPr>
          <w:p w14:paraId="7AC8C593">
            <w:pPr>
              <w:pStyle w:val="31"/>
              <w:spacing w:line="360" w:lineRule="auto"/>
              <w:rPr>
                <w:rFonts w:ascii="Times New Roman" w:hAnsi="Times New Roman"/>
                <w:szCs w:val="21"/>
              </w:rPr>
            </w:pPr>
          </w:p>
        </w:tc>
        <w:tc>
          <w:tcPr>
            <w:tcW w:w="830" w:type="dxa"/>
            <w:noWrap w:val="0"/>
            <w:vAlign w:val="center"/>
          </w:tcPr>
          <w:p w14:paraId="1F6A9BD8">
            <w:pPr>
              <w:pStyle w:val="31"/>
              <w:spacing w:line="360" w:lineRule="auto"/>
              <w:rPr>
                <w:rFonts w:ascii="Times New Roman" w:hAnsi="Times New Roman"/>
                <w:szCs w:val="21"/>
              </w:rPr>
            </w:pPr>
          </w:p>
        </w:tc>
        <w:tc>
          <w:tcPr>
            <w:tcW w:w="940" w:type="dxa"/>
            <w:noWrap w:val="0"/>
            <w:vAlign w:val="center"/>
          </w:tcPr>
          <w:p w14:paraId="7F5B7E70">
            <w:pPr>
              <w:pStyle w:val="31"/>
              <w:spacing w:line="360" w:lineRule="auto"/>
              <w:rPr>
                <w:rFonts w:ascii="Times New Roman" w:hAnsi="Times New Roman"/>
                <w:szCs w:val="21"/>
              </w:rPr>
            </w:pPr>
          </w:p>
        </w:tc>
        <w:tc>
          <w:tcPr>
            <w:tcW w:w="2239" w:type="dxa"/>
            <w:tcBorders>
              <w:right w:val="single" w:color="auto" w:sz="8" w:space="0"/>
            </w:tcBorders>
            <w:noWrap w:val="0"/>
            <w:vAlign w:val="center"/>
          </w:tcPr>
          <w:p w14:paraId="2A8F03C7">
            <w:pPr>
              <w:pStyle w:val="31"/>
              <w:spacing w:line="360" w:lineRule="auto"/>
              <w:rPr>
                <w:rFonts w:ascii="Times New Roman" w:hAnsi="Times New Roman"/>
                <w:szCs w:val="21"/>
              </w:rPr>
            </w:pPr>
          </w:p>
        </w:tc>
      </w:tr>
      <w:tr w14:paraId="56CA725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500" w:hRule="exact"/>
        </w:trPr>
        <w:tc>
          <w:tcPr>
            <w:tcW w:w="500" w:type="dxa"/>
            <w:tcBorders>
              <w:left w:val="single" w:color="auto" w:sz="8" w:space="0"/>
              <w:bottom w:val="single" w:color="auto" w:sz="8" w:space="0"/>
            </w:tcBorders>
            <w:noWrap w:val="0"/>
            <w:vAlign w:val="center"/>
          </w:tcPr>
          <w:p w14:paraId="2C2ED5E5">
            <w:pPr>
              <w:pStyle w:val="31"/>
              <w:spacing w:line="360" w:lineRule="auto"/>
              <w:rPr>
                <w:rFonts w:ascii="Times New Roman" w:hAnsi="Times New Roman"/>
                <w:szCs w:val="21"/>
              </w:rPr>
            </w:pPr>
          </w:p>
        </w:tc>
        <w:tc>
          <w:tcPr>
            <w:tcW w:w="1880" w:type="dxa"/>
            <w:tcBorders>
              <w:bottom w:val="single" w:color="auto" w:sz="8" w:space="0"/>
            </w:tcBorders>
            <w:noWrap w:val="0"/>
            <w:vAlign w:val="center"/>
          </w:tcPr>
          <w:p w14:paraId="133FFB7F">
            <w:pPr>
              <w:pStyle w:val="31"/>
              <w:spacing w:line="360" w:lineRule="auto"/>
              <w:rPr>
                <w:rFonts w:ascii="Times New Roman" w:hAnsi="Times New Roman"/>
                <w:szCs w:val="21"/>
              </w:rPr>
            </w:pPr>
          </w:p>
        </w:tc>
        <w:tc>
          <w:tcPr>
            <w:tcW w:w="1880" w:type="dxa"/>
            <w:tcBorders>
              <w:bottom w:val="single" w:color="auto" w:sz="8" w:space="0"/>
            </w:tcBorders>
            <w:noWrap w:val="0"/>
            <w:vAlign w:val="center"/>
          </w:tcPr>
          <w:p w14:paraId="6F35E331">
            <w:pPr>
              <w:pStyle w:val="31"/>
              <w:spacing w:line="360" w:lineRule="auto"/>
              <w:rPr>
                <w:rFonts w:ascii="Times New Roman" w:hAnsi="Times New Roman"/>
                <w:szCs w:val="21"/>
              </w:rPr>
            </w:pPr>
          </w:p>
        </w:tc>
        <w:tc>
          <w:tcPr>
            <w:tcW w:w="830" w:type="dxa"/>
            <w:tcBorders>
              <w:bottom w:val="single" w:color="auto" w:sz="8" w:space="0"/>
            </w:tcBorders>
            <w:noWrap w:val="0"/>
            <w:vAlign w:val="center"/>
          </w:tcPr>
          <w:p w14:paraId="77230150">
            <w:pPr>
              <w:pStyle w:val="31"/>
              <w:spacing w:line="360" w:lineRule="auto"/>
              <w:rPr>
                <w:rFonts w:ascii="Times New Roman" w:hAnsi="Times New Roman"/>
                <w:szCs w:val="21"/>
              </w:rPr>
            </w:pPr>
          </w:p>
        </w:tc>
        <w:tc>
          <w:tcPr>
            <w:tcW w:w="830" w:type="dxa"/>
            <w:tcBorders>
              <w:bottom w:val="single" w:color="auto" w:sz="8" w:space="0"/>
            </w:tcBorders>
            <w:noWrap w:val="0"/>
            <w:vAlign w:val="center"/>
          </w:tcPr>
          <w:p w14:paraId="6742767E">
            <w:pPr>
              <w:pStyle w:val="31"/>
              <w:spacing w:line="360" w:lineRule="auto"/>
              <w:rPr>
                <w:rFonts w:ascii="Times New Roman" w:hAnsi="Times New Roman"/>
                <w:szCs w:val="21"/>
              </w:rPr>
            </w:pPr>
          </w:p>
        </w:tc>
        <w:tc>
          <w:tcPr>
            <w:tcW w:w="940" w:type="dxa"/>
            <w:tcBorders>
              <w:bottom w:val="single" w:color="auto" w:sz="8" w:space="0"/>
            </w:tcBorders>
            <w:noWrap w:val="0"/>
            <w:vAlign w:val="center"/>
          </w:tcPr>
          <w:p w14:paraId="4B2C0ACC">
            <w:pPr>
              <w:pStyle w:val="31"/>
              <w:spacing w:line="360" w:lineRule="auto"/>
              <w:rPr>
                <w:rFonts w:ascii="Times New Roman" w:hAnsi="Times New Roman"/>
                <w:szCs w:val="21"/>
              </w:rPr>
            </w:pPr>
          </w:p>
        </w:tc>
        <w:tc>
          <w:tcPr>
            <w:tcW w:w="2239" w:type="dxa"/>
            <w:tcBorders>
              <w:bottom w:val="single" w:color="auto" w:sz="8" w:space="0"/>
              <w:right w:val="single" w:color="auto" w:sz="8" w:space="0"/>
            </w:tcBorders>
            <w:noWrap w:val="0"/>
            <w:vAlign w:val="center"/>
          </w:tcPr>
          <w:p w14:paraId="72ED530A">
            <w:pPr>
              <w:pStyle w:val="31"/>
              <w:spacing w:line="360" w:lineRule="auto"/>
              <w:rPr>
                <w:rFonts w:ascii="Times New Roman" w:hAnsi="Times New Roman"/>
                <w:szCs w:val="21"/>
              </w:rPr>
            </w:pPr>
          </w:p>
        </w:tc>
      </w:tr>
    </w:tbl>
    <w:p w14:paraId="69CE5946">
      <w:pPr>
        <w:pStyle w:val="31"/>
        <w:spacing w:line="360" w:lineRule="auto"/>
        <w:rPr>
          <w:rFonts w:ascii="Times New Roman" w:hAnsi="Times New Roman"/>
          <w:szCs w:val="21"/>
        </w:rPr>
      </w:pPr>
    </w:p>
    <w:p w14:paraId="510658E0">
      <w:pPr>
        <w:pStyle w:val="31"/>
        <w:spacing w:line="360" w:lineRule="auto"/>
        <w:rPr>
          <w:rFonts w:ascii="Times New Roman" w:hAnsi="Times New Roman"/>
          <w:szCs w:val="21"/>
        </w:rPr>
      </w:pPr>
      <w:r>
        <w:rPr>
          <w:rFonts w:ascii="Times New Roman" w:hAnsi="Times New Roman"/>
          <w:szCs w:val="21"/>
        </w:rPr>
        <w:t>2.3</w:t>
      </w:r>
      <w:r>
        <w:rPr>
          <w:rFonts w:hint="eastAsia" w:ascii="Times New Roman" w:hAnsi="Times New Roman"/>
          <w:szCs w:val="21"/>
        </w:rPr>
        <w:tab/>
      </w:r>
      <w:r>
        <w:rPr>
          <w:rFonts w:hint="eastAsia" w:ascii="Times New Roman" w:hAnsi="Times New Roman"/>
          <w:szCs w:val="21"/>
        </w:rPr>
        <w:t>培训的时间、人数、地点等具体内容由招、投标人双方商定。</w:t>
      </w:r>
    </w:p>
    <w:p w14:paraId="7E1A88BB">
      <w:pPr>
        <w:pStyle w:val="31"/>
        <w:spacing w:line="360" w:lineRule="auto"/>
        <w:rPr>
          <w:rFonts w:ascii="Times New Roman" w:hAnsi="Times New Roman"/>
          <w:szCs w:val="21"/>
        </w:rPr>
      </w:pPr>
      <w:r>
        <w:rPr>
          <w:rFonts w:ascii="Times New Roman" w:hAnsi="Times New Roman"/>
          <w:szCs w:val="21"/>
        </w:rPr>
        <w:t>2.4</w:t>
      </w:r>
      <w:r>
        <w:rPr>
          <w:rFonts w:hint="eastAsia" w:ascii="Times New Roman" w:hAnsi="Times New Roman"/>
          <w:szCs w:val="21"/>
        </w:rPr>
        <w:tab/>
      </w:r>
      <w:r>
        <w:rPr>
          <w:rFonts w:hint="eastAsia" w:ascii="Times New Roman" w:hAnsi="Times New Roman"/>
          <w:szCs w:val="21"/>
        </w:rPr>
        <w:t>投标人为招标人培训人员提供设备、场地、资料等培训条件，费用由投标人承担，并提供食宿和交通方便。</w:t>
      </w:r>
    </w:p>
    <w:p w14:paraId="5B39A8A5">
      <w:pPr>
        <w:pStyle w:val="31"/>
        <w:spacing w:line="360" w:lineRule="auto"/>
        <w:outlineLvl w:val="0"/>
        <w:rPr>
          <w:rFonts w:ascii="Times New Roman" w:hAnsi="Times New Roman"/>
          <w:szCs w:val="21"/>
        </w:rPr>
      </w:pPr>
      <w:bookmarkStart w:id="63" w:name="_Toc264037172"/>
      <w:r>
        <w:rPr>
          <w:rFonts w:ascii="Times New Roman" w:hAnsi="Times New Roman"/>
          <w:szCs w:val="21"/>
        </w:rPr>
        <w:t>3</w:t>
      </w:r>
      <w:r>
        <w:rPr>
          <w:rFonts w:hint="eastAsia" w:ascii="Times New Roman" w:hAnsi="Times New Roman"/>
          <w:szCs w:val="21"/>
        </w:rPr>
        <w:tab/>
      </w:r>
      <w:r>
        <w:rPr>
          <w:rFonts w:hint="eastAsia" w:ascii="Times New Roman" w:hAnsi="Times New Roman"/>
          <w:szCs w:val="21"/>
        </w:rPr>
        <w:t xml:space="preserve">  设计联络</w:t>
      </w:r>
      <w:bookmarkEnd w:id="63"/>
    </w:p>
    <w:p w14:paraId="399AED7F">
      <w:pPr>
        <w:pStyle w:val="31"/>
        <w:snapToGrid w:val="0"/>
        <w:spacing w:line="360" w:lineRule="auto"/>
        <w:rPr>
          <w:rFonts w:ascii="Times New Roman" w:hAnsi="Times New Roman"/>
          <w:color w:val="FF0000"/>
          <w:szCs w:val="21"/>
        </w:rPr>
      </w:pPr>
      <w:r>
        <w:rPr>
          <w:rFonts w:hint="eastAsia" w:ascii="Times New Roman" w:hAnsi="Times New Roman"/>
          <w:szCs w:val="21"/>
        </w:rPr>
        <w:t>3</w:t>
      </w:r>
      <w:r>
        <w:rPr>
          <w:rFonts w:ascii="Times New Roman" w:hAnsi="Times New Roman"/>
          <w:szCs w:val="21"/>
        </w:rPr>
        <w:t>.1</w:t>
      </w:r>
      <w:r>
        <w:rPr>
          <w:rFonts w:hint="eastAsia" w:ascii="Times New Roman" w:hAnsi="Times New Roman"/>
          <w:szCs w:val="21"/>
        </w:rPr>
        <w:tab/>
      </w:r>
      <w:r>
        <w:rPr>
          <w:rFonts w:hint="eastAsia" w:ascii="Times New Roman" w:hAnsi="Times New Roman"/>
          <w:szCs w:val="21"/>
        </w:rPr>
        <w:t>为了保证工程进度并能顺利开展工作，招、投标人双方根据需要组织设计联络会以解决技术接口问题，</w:t>
      </w:r>
      <w:r>
        <w:rPr>
          <w:rFonts w:hint="eastAsia" w:ascii="Times New Roman" w:hAnsi="Times New Roman"/>
          <w:color w:val="auto"/>
          <w:szCs w:val="21"/>
        </w:rPr>
        <w:t>根据工程需要召开设计联络会由招投标双方商定</w:t>
      </w:r>
      <w:r>
        <w:rPr>
          <w:rFonts w:hint="eastAsia" w:ascii="Times New Roman" w:hAnsi="Times New Roman"/>
          <w:color w:val="auto"/>
          <w:szCs w:val="21"/>
          <w:lang w:eastAsia="zh-CN"/>
        </w:rPr>
        <w:t>，</w:t>
      </w:r>
      <w:r>
        <w:rPr>
          <w:rFonts w:hint="eastAsia" w:ascii="Times New Roman" w:hAnsi="Times New Roman"/>
          <w:color w:val="auto"/>
          <w:szCs w:val="21"/>
        </w:rPr>
        <w:t>费用</w:t>
      </w:r>
      <w:r>
        <w:rPr>
          <w:rFonts w:hint="eastAsia" w:ascii="Times New Roman" w:hAnsi="Times New Roman"/>
          <w:color w:val="auto"/>
          <w:szCs w:val="21"/>
          <w:lang w:val="en-US" w:eastAsia="zh-CN"/>
        </w:rPr>
        <w:t>包含</w:t>
      </w:r>
      <w:r>
        <w:rPr>
          <w:rFonts w:hint="eastAsia" w:ascii="Times New Roman" w:hAnsi="Times New Roman"/>
          <w:color w:val="auto"/>
          <w:szCs w:val="21"/>
        </w:rPr>
        <w:t>在投标报价中。</w:t>
      </w:r>
    </w:p>
    <w:p w14:paraId="4464030B">
      <w:pPr>
        <w:pStyle w:val="31"/>
        <w:spacing w:line="360" w:lineRule="auto"/>
        <w:rPr>
          <w:rFonts w:ascii="Times New Roman" w:hAnsi="Times New Roman"/>
          <w:szCs w:val="21"/>
        </w:rPr>
      </w:pPr>
      <w:bookmarkStart w:id="64" w:name="_Toc59966839"/>
      <w:r>
        <w:rPr>
          <w:rFonts w:hint="eastAsia" w:ascii="Times New Roman" w:hAnsi="Times New Roman"/>
          <w:szCs w:val="21"/>
        </w:rPr>
        <w:t>设计联络计划表</w:t>
      </w:r>
      <w:bookmarkEnd w:id="64"/>
    </w:p>
    <w:tbl>
      <w:tblPr>
        <w:tblStyle w:val="59"/>
        <w:tblW w:w="0" w:type="auto"/>
        <w:tblInd w:w="0" w:type="dxa"/>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Layout w:type="fixed"/>
        <w:tblCellMar>
          <w:top w:w="0" w:type="dxa"/>
          <w:left w:w="28" w:type="dxa"/>
          <w:bottom w:w="0" w:type="dxa"/>
          <w:right w:w="28" w:type="dxa"/>
        </w:tblCellMar>
      </w:tblPr>
      <w:tblGrid>
        <w:gridCol w:w="644"/>
        <w:gridCol w:w="1064"/>
        <w:gridCol w:w="2320"/>
        <w:gridCol w:w="1000"/>
        <w:gridCol w:w="2840"/>
        <w:gridCol w:w="1259"/>
      </w:tblGrid>
      <w:tr w14:paraId="5C6C4CB4">
        <w:tblPrEx>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CellMar>
            <w:top w:w="0" w:type="dxa"/>
            <w:left w:w="28" w:type="dxa"/>
            <w:bottom w:w="0" w:type="dxa"/>
            <w:right w:w="28" w:type="dxa"/>
          </w:tblCellMar>
        </w:tblPrEx>
        <w:trPr>
          <w:trHeight w:val="500" w:hRule="exact"/>
        </w:trPr>
        <w:tc>
          <w:tcPr>
            <w:tcW w:w="644" w:type="dxa"/>
            <w:noWrap w:val="0"/>
            <w:vAlign w:val="center"/>
          </w:tcPr>
          <w:p w14:paraId="232BCB41">
            <w:pPr>
              <w:pStyle w:val="31"/>
              <w:spacing w:line="360" w:lineRule="auto"/>
              <w:rPr>
                <w:rFonts w:ascii="Times New Roman" w:hAnsi="Times New Roman"/>
                <w:szCs w:val="21"/>
              </w:rPr>
            </w:pPr>
            <w:r>
              <w:rPr>
                <w:rFonts w:hint="eastAsia" w:ascii="Times New Roman" w:hAnsi="Times New Roman"/>
                <w:szCs w:val="21"/>
              </w:rPr>
              <w:t>序号</w:t>
            </w:r>
          </w:p>
        </w:tc>
        <w:tc>
          <w:tcPr>
            <w:tcW w:w="1064" w:type="dxa"/>
            <w:noWrap w:val="0"/>
            <w:vAlign w:val="center"/>
          </w:tcPr>
          <w:p w14:paraId="78A3F739">
            <w:pPr>
              <w:pStyle w:val="31"/>
              <w:spacing w:line="360" w:lineRule="auto"/>
              <w:rPr>
                <w:rFonts w:ascii="Times New Roman" w:hAnsi="Times New Roman"/>
                <w:szCs w:val="21"/>
              </w:rPr>
            </w:pPr>
            <w:r>
              <w:rPr>
                <w:rFonts w:hint="eastAsia" w:ascii="Times New Roman" w:hAnsi="Times New Roman"/>
                <w:szCs w:val="21"/>
              </w:rPr>
              <w:t>次</w:t>
            </w:r>
            <w:r>
              <w:rPr>
                <w:rFonts w:ascii="Times New Roman" w:hAnsi="Times New Roman"/>
                <w:szCs w:val="21"/>
              </w:rPr>
              <w:t xml:space="preserve"> </w:t>
            </w:r>
            <w:r>
              <w:rPr>
                <w:rFonts w:hint="eastAsia" w:ascii="Times New Roman" w:hAnsi="Times New Roman"/>
                <w:szCs w:val="21"/>
              </w:rPr>
              <w:t>数</w:t>
            </w:r>
          </w:p>
        </w:tc>
        <w:tc>
          <w:tcPr>
            <w:tcW w:w="2320" w:type="dxa"/>
            <w:noWrap w:val="0"/>
            <w:vAlign w:val="center"/>
          </w:tcPr>
          <w:p w14:paraId="12C8C394">
            <w:pPr>
              <w:pStyle w:val="31"/>
              <w:spacing w:line="360" w:lineRule="auto"/>
              <w:rPr>
                <w:rFonts w:ascii="Times New Roman" w:hAnsi="Times New Roman"/>
                <w:szCs w:val="21"/>
              </w:rPr>
            </w:pPr>
            <w:r>
              <w:rPr>
                <w:rFonts w:hint="eastAsia" w:ascii="Times New Roman" w:hAnsi="Times New Roman"/>
                <w:szCs w:val="21"/>
              </w:rPr>
              <w:t>内</w:t>
            </w:r>
            <w:r>
              <w:rPr>
                <w:rFonts w:ascii="Times New Roman" w:hAnsi="Times New Roman"/>
                <w:szCs w:val="21"/>
              </w:rPr>
              <w:t xml:space="preserve">   </w:t>
            </w:r>
            <w:r>
              <w:rPr>
                <w:rFonts w:hint="eastAsia" w:ascii="Times New Roman" w:hAnsi="Times New Roman"/>
                <w:szCs w:val="21"/>
              </w:rPr>
              <w:t>容</w:t>
            </w:r>
          </w:p>
        </w:tc>
        <w:tc>
          <w:tcPr>
            <w:tcW w:w="1000" w:type="dxa"/>
            <w:noWrap w:val="0"/>
            <w:vAlign w:val="center"/>
          </w:tcPr>
          <w:p w14:paraId="496C71EB">
            <w:pPr>
              <w:pStyle w:val="31"/>
              <w:spacing w:line="360" w:lineRule="auto"/>
              <w:rPr>
                <w:rFonts w:ascii="Times New Roman" w:hAnsi="Times New Roman"/>
                <w:szCs w:val="21"/>
              </w:rPr>
            </w:pPr>
            <w:r>
              <w:rPr>
                <w:rFonts w:hint="eastAsia" w:ascii="Times New Roman" w:hAnsi="Times New Roman"/>
                <w:szCs w:val="21"/>
              </w:rPr>
              <w:t>时</w:t>
            </w:r>
            <w:r>
              <w:rPr>
                <w:rFonts w:ascii="Times New Roman" w:hAnsi="Times New Roman"/>
                <w:szCs w:val="21"/>
              </w:rPr>
              <w:t xml:space="preserve"> </w:t>
            </w:r>
            <w:r>
              <w:rPr>
                <w:rFonts w:hint="eastAsia" w:ascii="Times New Roman" w:hAnsi="Times New Roman"/>
                <w:szCs w:val="21"/>
              </w:rPr>
              <w:t>间</w:t>
            </w:r>
          </w:p>
        </w:tc>
        <w:tc>
          <w:tcPr>
            <w:tcW w:w="2840" w:type="dxa"/>
            <w:noWrap w:val="0"/>
            <w:vAlign w:val="center"/>
          </w:tcPr>
          <w:p w14:paraId="20B3FD27">
            <w:pPr>
              <w:pStyle w:val="31"/>
              <w:spacing w:line="360" w:lineRule="auto"/>
              <w:rPr>
                <w:rFonts w:ascii="Times New Roman" w:hAnsi="Times New Roman"/>
                <w:szCs w:val="21"/>
              </w:rPr>
            </w:pPr>
            <w:r>
              <w:rPr>
                <w:rFonts w:hint="eastAsia" w:ascii="Times New Roman" w:hAnsi="Times New Roman"/>
                <w:szCs w:val="21"/>
              </w:rPr>
              <w:t>地</w:t>
            </w:r>
            <w:r>
              <w:rPr>
                <w:rFonts w:ascii="Times New Roman" w:hAnsi="Times New Roman"/>
                <w:szCs w:val="21"/>
              </w:rPr>
              <w:t xml:space="preserve">   </w:t>
            </w:r>
            <w:r>
              <w:rPr>
                <w:rFonts w:hint="eastAsia" w:ascii="Times New Roman" w:hAnsi="Times New Roman"/>
                <w:szCs w:val="21"/>
              </w:rPr>
              <w:t>点</w:t>
            </w:r>
          </w:p>
        </w:tc>
        <w:tc>
          <w:tcPr>
            <w:tcW w:w="1259" w:type="dxa"/>
            <w:noWrap w:val="0"/>
            <w:vAlign w:val="center"/>
          </w:tcPr>
          <w:p w14:paraId="5BC1501B">
            <w:pPr>
              <w:pStyle w:val="31"/>
              <w:spacing w:line="360" w:lineRule="auto"/>
              <w:rPr>
                <w:rFonts w:ascii="Times New Roman" w:hAnsi="Times New Roman"/>
                <w:szCs w:val="21"/>
              </w:rPr>
            </w:pPr>
            <w:r>
              <w:rPr>
                <w:rFonts w:hint="eastAsia" w:ascii="Times New Roman" w:hAnsi="Times New Roman"/>
                <w:szCs w:val="21"/>
              </w:rPr>
              <w:t>人数</w:t>
            </w:r>
          </w:p>
        </w:tc>
      </w:tr>
      <w:tr w14:paraId="28041C67">
        <w:tblPrEx>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CellMar>
            <w:top w:w="0" w:type="dxa"/>
            <w:left w:w="28" w:type="dxa"/>
            <w:bottom w:w="0" w:type="dxa"/>
            <w:right w:w="28" w:type="dxa"/>
          </w:tblCellMar>
        </w:tblPrEx>
        <w:trPr>
          <w:trHeight w:val="500" w:hRule="exact"/>
        </w:trPr>
        <w:tc>
          <w:tcPr>
            <w:tcW w:w="644" w:type="dxa"/>
            <w:noWrap w:val="0"/>
            <w:vAlign w:val="center"/>
          </w:tcPr>
          <w:p w14:paraId="34DA9A42">
            <w:pPr>
              <w:pStyle w:val="31"/>
              <w:spacing w:line="360" w:lineRule="auto"/>
              <w:rPr>
                <w:rFonts w:ascii="Times New Roman" w:hAnsi="Times New Roman"/>
                <w:szCs w:val="21"/>
              </w:rPr>
            </w:pPr>
          </w:p>
        </w:tc>
        <w:tc>
          <w:tcPr>
            <w:tcW w:w="1064" w:type="dxa"/>
            <w:noWrap w:val="0"/>
            <w:vAlign w:val="center"/>
          </w:tcPr>
          <w:p w14:paraId="2496E704">
            <w:pPr>
              <w:pStyle w:val="31"/>
              <w:spacing w:line="360" w:lineRule="auto"/>
              <w:rPr>
                <w:rFonts w:ascii="Times New Roman" w:hAnsi="Times New Roman"/>
                <w:szCs w:val="21"/>
              </w:rPr>
            </w:pPr>
          </w:p>
        </w:tc>
        <w:tc>
          <w:tcPr>
            <w:tcW w:w="2320" w:type="dxa"/>
            <w:noWrap w:val="0"/>
            <w:vAlign w:val="center"/>
          </w:tcPr>
          <w:p w14:paraId="28394115">
            <w:pPr>
              <w:pStyle w:val="31"/>
              <w:spacing w:line="360" w:lineRule="auto"/>
              <w:rPr>
                <w:rFonts w:ascii="Times New Roman" w:hAnsi="Times New Roman"/>
                <w:szCs w:val="21"/>
              </w:rPr>
            </w:pPr>
          </w:p>
        </w:tc>
        <w:tc>
          <w:tcPr>
            <w:tcW w:w="1000" w:type="dxa"/>
            <w:noWrap w:val="0"/>
            <w:vAlign w:val="center"/>
          </w:tcPr>
          <w:p w14:paraId="219DB3ED">
            <w:pPr>
              <w:pStyle w:val="31"/>
              <w:spacing w:line="360" w:lineRule="auto"/>
              <w:rPr>
                <w:rFonts w:ascii="Times New Roman" w:hAnsi="Times New Roman"/>
                <w:szCs w:val="21"/>
              </w:rPr>
            </w:pPr>
          </w:p>
        </w:tc>
        <w:tc>
          <w:tcPr>
            <w:tcW w:w="2840" w:type="dxa"/>
            <w:noWrap w:val="0"/>
            <w:vAlign w:val="center"/>
          </w:tcPr>
          <w:p w14:paraId="2AA72046">
            <w:pPr>
              <w:pStyle w:val="31"/>
              <w:spacing w:line="360" w:lineRule="auto"/>
              <w:rPr>
                <w:rFonts w:ascii="Times New Roman" w:hAnsi="Times New Roman"/>
                <w:szCs w:val="21"/>
              </w:rPr>
            </w:pPr>
          </w:p>
        </w:tc>
        <w:tc>
          <w:tcPr>
            <w:tcW w:w="1259" w:type="dxa"/>
            <w:noWrap w:val="0"/>
            <w:vAlign w:val="center"/>
          </w:tcPr>
          <w:p w14:paraId="7C9A73EB">
            <w:pPr>
              <w:pStyle w:val="31"/>
              <w:spacing w:line="360" w:lineRule="auto"/>
              <w:rPr>
                <w:rFonts w:ascii="Times New Roman" w:hAnsi="Times New Roman"/>
                <w:szCs w:val="21"/>
              </w:rPr>
            </w:pPr>
          </w:p>
        </w:tc>
      </w:tr>
      <w:tr w14:paraId="25826B5F">
        <w:tblPrEx>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CellMar>
            <w:top w:w="0" w:type="dxa"/>
            <w:left w:w="28" w:type="dxa"/>
            <w:bottom w:w="0" w:type="dxa"/>
            <w:right w:w="28" w:type="dxa"/>
          </w:tblCellMar>
        </w:tblPrEx>
        <w:trPr>
          <w:trHeight w:val="500" w:hRule="exact"/>
        </w:trPr>
        <w:tc>
          <w:tcPr>
            <w:tcW w:w="644" w:type="dxa"/>
            <w:noWrap w:val="0"/>
            <w:vAlign w:val="center"/>
          </w:tcPr>
          <w:p w14:paraId="31B3E64A">
            <w:pPr>
              <w:pStyle w:val="31"/>
              <w:spacing w:line="360" w:lineRule="auto"/>
              <w:rPr>
                <w:rFonts w:ascii="Times New Roman" w:hAnsi="Times New Roman"/>
                <w:szCs w:val="21"/>
              </w:rPr>
            </w:pPr>
          </w:p>
        </w:tc>
        <w:tc>
          <w:tcPr>
            <w:tcW w:w="1064" w:type="dxa"/>
            <w:noWrap w:val="0"/>
            <w:vAlign w:val="center"/>
          </w:tcPr>
          <w:p w14:paraId="46B62687">
            <w:pPr>
              <w:pStyle w:val="31"/>
              <w:spacing w:line="360" w:lineRule="auto"/>
              <w:rPr>
                <w:rFonts w:ascii="Times New Roman" w:hAnsi="Times New Roman"/>
                <w:szCs w:val="21"/>
              </w:rPr>
            </w:pPr>
          </w:p>
        </w:tc>
        <w:tc>
          <w:tcPr>
            <w:tcW w:w="2320" w:type="dxa"/>
            <w:noWrap w:val="0"/>
            <w:vAlign w:val="center"/>
          </w:tcPr>
          <w:p w14:paraId="65292C19">
            <w:pPr>
              <w:pStyle w:val="31"/>
              <w:spacing w:line="360" w:lineRule="auto"/>
              <w:rPr>
                <w:rFonts w:ascii="Times New Roman" w:hAnsi="Times New Roman"/>
                <w:szCs w:val="21"/>
              </w:rPr>
            </w:pPr>
          </w:p>
        </w:tc>
        <w:tc>
          <w:tcPr>
            <w:tcW w:w="1000" w:type="dxa"/>
            <w:noWrap w:val="0"/>
            <w:vAlign w:val="center"/>
          </w:tcPr>
          <w:p w14:paraId="4B0A72C5">
            <w:pPr>
              <w:pStyle w:val="31"/>
              <w:spacing w:line="360" w:lineRule="auto"/>
              <w:rPr>
                <w:rFonts w:ascii="Times New Roman" w:hAnsi="Times New Roman"/>
                <w:szCs w:val="21"/>
              </w:rPr>
            </w:pPr>
          </w:p>
        </w:tc>
        <w:tc>
          <w:tcPr>
            <w:tcW w:w="2840" w:type="dxa"/>
            <w:noWrap w:val="0"/>
            <w:vAlign w:val="center"/>
          </w:tcPr>
          <w:p w14:paraId="2DAEFBB8">
            <w:pPr>
              <w:pStyle w:val="31"/>
              <w:spacing w:line="360" w:lineRule="auto"/>
              <w:rPr>
                <w:rFonts w:ascii="Times New Roman" w:hAnsi="Times New Roman"/>
                <w:szCs w:val="21"/>
              </w:rPr>
            </w:pPr>
          </w:p>
        </w:tc>
        <w:tc>
          <w:tcPr>
            <w:tcW w:w="1259" w:type="dxa"/>
            <w:noWrap w:val="0"/>
            <w:vAlign w:val="center"/>
          </w:tcPr>
          <w:p w14:paraId="3B0D3D1D">
            <w:pPr>
              <w:pStyle w:val="31"/>
              <w:spacing w:line="360" w:lineRule="auto"/>
              <w:rPr>
                <w:rFonts w:ascii="Times New Roman" w:hAnsi="Times New Roman"/>
                <w:szCs w:val="21"/>
              </w:rPr>
            </w:pPr>
          </w:p>
        </w:tc>
      </w:tr>
      <w:tr w14:paraId="6AD73023">
        <w:tblPrEx>
          <w:tblBorders>
            <w:top w:val="single" w:color="auto" w:sz="8" w:space="0"/>
            <w:left w:val="single" w:color="auto" w:sz="8" w:space="0"/>
            <w:bottom w:val="single" w:color="auto" w:sz="8" w:space="0"/>
            <w:right w:val="single" w:color="auto" w:sz="8" w:space="0"/>
            <w:insideH w:val="single" w:color="000000" w:sz="6" w:space="0"/>
            <w:insideV w:val="single" w:color="000000" w:sz="6" w:space="0"/>
          </w:tblBorders>
          <w:tblCellMar>
            <w:top w:w="0" w:type="dxa"/>
            <w:left w:w="28" w:type="dxa"/>
            <w:bottom w:w="0" w:type="dxa"/>
            <w:right w:w="28" w:type="dxa"/>
          </w:tblCellMar>
        </w:tblPrEx>
        <w:trPr>
          <w:trHeight w:val="500" w:hRule="exact"/>
        </w:trPr>
        <w:tc>
          <w:tcPr>
            <w:tcW w:w="644" w:type="dxa"/>
            <w:noWrap w:val="0"/>
            <w:vAlign w:val="center"/>
          </w:tcPr>
          <w:p w14:paraId="7583484A">
            <w:pPr>
              <w:pStyle w:val="31"/>
              <w:spacing w:line="360" w:lineRule="auto"/>
              <w:rPr>
                <w:rFonts w:ascii="Times New Roman" w:hAnsi="Times New Roman"/>
                <w:szCs w:val="21"/>
              </w:rPr>
            </w:pPr>
          </w:p>
        </w:tc>
        <w:tc>
          <w:tcPr>
            <w:tcW w:w="1064" w:type="dxa"/>
            <w:noWrap w:val="0"/>
            <w:vAlign w:val="center"/>
          </w:tcPr>
          <w:p w14:paraId="0857B5B3">
            <w:pPr>
              <w:pStyle w:val="31"/>
              <w:spacing w:line="360" w:lineRule="auto"/>
              <w:rPr>
                <w:rFonts w:ascii="Times New Roman" w:hAnsi="Times New Roman"/>
                <w:szCs w:val="21"/>
              </w:rPr>
            </w:pPr>
          </w:p>
        </w:tc>
        <w:tc>
          <w:tcPr>
            <w:tcW w:w="2320" w:type="dxa"/>
            <w:noWrap w:val="0"/>
            <w:vAlign w:val="center"/>
          </w:tcPr>
          <w:p w14:paraId="3EBD1D1D">
            <w:pPr>
              <w:pStyle w:val="31"/>
              <w:spacing w:line="360" w:lineRule="auto"/>
              <w:rPr>
                <w:rFonts w:ascii="Times New Roman" w:hAnsi="Times New Roman"/>
                <w:szCs w:val="21"/>
              </w:rPr>
            </w:pPr>
          </w:p>
        </w:tc>
        <w:tc>
          <w:tcPr>
            <w:tcW w:w="1000" w:type="dxa"/>
            <w:noWrap w:val="0"/>
            <w:vAlign w:val="center"/>
          </w:tcPr>
          <w:p w14:paraId="1A22A37A">
            <w:pPr>
              <w:pStyle w:val="31"/>
              <w:spacing w:line="360" w:lineRule="auto"/>
              <w:rPr>
                <w:rFonts w:ascii="Times New Roman" w:hAnsi="Times New Roman"/>
                <w:szCs w:val="21"/>
              </w:rPr>
            </w:pPr>
          </w:p>
        </w:tc>
        <w:tc>
          <w:tcPr>
            <w:tcW w:w="2840" w:type="dxa"/>
            <w:noWrap w:val="0"/>
            <w:vAlign w:val="center"/>
          </w:tcPr>
          <w:p w14:paraId="1C6853BF">
            <w:pPr>
              <w:pStyle w:val="31"/>
              <w:spacing w:line="360" w:lineRule="auto"/>
              <w:rPr>
                <w:rFonts w:ascii="Times New Roman" w:hAnsi="Times New Roman"/>
                <w:szCs w:val="21"/>
              </w:rPr>
            </w:pPr>
          </w:p>
        </w:tc>
        <w:tc>
          <w:tcPr>
            <w:tcW w:w="1259" w:type="dxa"/>
            <w:noWrap w:val="0"/>
            <w:vAlign w:val="center"/>
          </w:tcPr>
          <w:p w14:paraId="22279DB7">
            <w:pPr>
              <w:pStyle w:val="31"/>
              <w:spacing w:line="360" w:lineRule="auto"/>
              <w:rPr>
                <w:rFonts w:ascii="Times New Roman" w:hAnsi="Times New Roman"/>
                <w:szCs w:val="21"/>
              </w:rPr>
            </w:pPr>
          </w:p>
        </w:tc>
      </w:tr>
    </w:tbl>
    <w:p w14:paraId="2E3F3286">
      <w:pPr>
        <w:pStyle w:val="31"/>
        <w:spacing w:line="360" w:lineRule="auto"/>
        <w:rPr>
          <w:rFonts w:hint="eastAsia" w:ascii="Times New Roman" w:hAnsi="Times New Roman"/>
          <w:b/>
          <w:bCs/>
        </w:rPr>
      </w:pPr>
      <w:r>
        <w:rPr>
          <w:rFonts w:ascii="Times New Roman" w:hAnsi="Times New Roman"/>
          <w:b/>
          <w:bCs/>
        </w:rPr>
        <w:br w:type="page"/>
      </w:r>
      <w:r>
        <w:rPr>
          <w:rFonts w:hint="eastAsia" w:ascii="Times New Roman" w:hAnsi="Times New Roman"/>
          <w:b/>
          <w:bCs/>
        </w:rPr>
        <w:t>附件7   分包与外购</w:t>
      </w:r>
    </w:p>
    <w:p w14:paraId="031231B6">
      <w:pPr>
        <w:spacing w:line="360" w:lineRule="auto"/>
        <w:rPr>
          <w:rFonts w:hint="eastAsia" w:hAnsi="宋体"/>
        </w:rPr>
      </w:pPr>
      <w:r>
        <w:rPr>
          <w:rFonts w:hint="eastAsia" w:hAnsi="宋体"/>
        </w:rPr>
        <w:t>投标人要按下列表格填写分包情况表，每项设备的候选分包厂家一般不少于3家，并报各分包厂家的简要资质情况。</w:t>
      </w:r>
    </w:p>
    <w:p w14:paraId="16E61B3F">
      <w:pPr>
        <w:pStyle w:val="55"/>
        <w:spacing w:after="0" w:line="360" w:lineRule="auto"/>
        <w:rPr>
          <w:rFonts w:hint="eastAsia" w:ascii="宋体" w:hAnsi="宋体" w:eastAsia="宋体"/>
          <w:sz w:val="21"/>
        </w:rPr>
      </w:pPr>
      <w:bookmarkStart w:id="65" w:name="_Toc59966841"/>
    </w:p>
    <w:p w14:paraId="1F108272">
      <w:pPr>
        <w:pStyle w:val="55"/>
        <w:spacing w:after="0" w:line="360" w:lineRule="auto"/>
        <w:rPr>
          <w:rFonts w:hint="eastAsia" w:ascii="宋体" w:hAnsi="宋体" w:eastAsia="宋体"/>
          <w:sz w:val="21"/>
        </w:rPr>
      </w:pPr>
    </w:p>
    <w:p w14:paraId="113373B7">
      <w:pPr>
        <w:pStyle w:val="55"/>
        <w:spacing w:after="0" w:line="360" w:lineRule="auto"/>
        <w:rPr>
          <w:rFonts w:hint="eastAsia" w:ascii="宋体" w:hAnsi="宋体" w:eastAsia="宋体"/>
          <w:sz w:val="21"/>
        </w:rPr>
      </w:pPr>
      <w:bookmarkStart w:id="66" w:name="_Toc264037173"/>
      <w:r>
        <w:rPr>
          <w:rFonts w:hint="eastAsia" w:ascii="宋体" w:hAnsi="宋体" w:eastAsia="宋体"/>
          <w:sz w:val="21"/>
        </w:rPr>
        <w:t>分  包  情  况  表</w:t>
      </w:r>
      <w:bookmarkEnd w:id="65"/>
      <w:bookmarkEnd w:id="66"/>
    </w:p>
    <w:tbl>
      <w:tblPr>
        <w:tblStyle w:val="59"/>
        <w:tblW w:w="0" w:type="auto"/>
        <w:tblInd w:w="13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596"/>
        <w:gridCol w:w="1218"/>
        <w:gridCol w:w="532"/>
        <w:gridCol w:w="532"/>
        <w:gridCol w:w="1553"/>
        <w:gridCol w:w="1232"/>
        <w:gridCol w:w="1176"/>
        <w:gridCol w:w="686"/>
      </w:tblGrid>
      <w:tr w14:paraId="05A0C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center"/>
          </w:tcPr>
          <w:p w14:paraId="788C76A6">
            <w:pPr>
              <w:spacing w:line="360" w:lineRule="auto"/>
              <w:jc w:val="center"/>
              <w:rPr>
                <w:rFonts w:hint="eastAsia" w:hAnsi="宋体"/>
              </w:rPr>
            </w:pPr>
            <w:r>
              <w:rPr>
                <w:rFonts w:hint="eastAsia" w:hAnsi="宋体"/>
              </w:rPr>
              <w:t>序</w:t>
            </w:r>
          </w:p>
          <w:p w14:paraId="215FDB45">
            <w:pPr>
              <w:spacing w:line="360" w:lineRule="auto"/>
              <w:jc w:val="center"/>
              <w:rPr>
                <w:rFonts w:hint="eastAsia" w:hAnsi="宋体"/>
              </w:rPr>
            </w:pPr>
            <w:r>
              <w:rPr>
                <w:rFonts w:hint="eastAsia" w:hAnsi="宋体"/>
              </w:rPr>
              <w:t>号</w:t>
            </w:r>
          </w:p>
        </w:tc>
        <w:tc>
          <w:tcPr>
            <w:tcW w:w="1596" w:type="dxa"/>
            <w:noWrap w:val="0"/>
            <w:vAlign w:val="center"/>
          </w:tcPr>
          <w:p w14:paraId="782F8171">
            <w:pPr>
              <w:spacing w:line="360" w:lineRule="auto"/>
              <w:jc w:val="center"/>
              <w:rPr>
                <w:rFonts w:hint="eastAsia" w:hAnsi="宋体"/>
              </w:rPr>
            </w:pPr>
            <w:r>
              <w:rPr>
                <w:rFonts w:hint="eastAsia" w:hAnsi="宋体"/>
              </w:rPr>
              <w:t>设备/部组件</w:t>
            </w:r>
          </w:p>
        </w:tc>
        <w:tc>
          <w:tcPr>
            <w:tcW w:w="1218" w:type="dxa"/>
            <w:noWrap w:val="0"/>
            <w:vAlign w:val="center"/>
          </w:tcPr>
          <w:p w14:paraId="42BFE757">
            <w:pPr>
              <w:spacing w:line="360" w:lineRule="auto"/>
              <w:jc w:val="center"/>
              <w:rPr>
                <w:rFonts w:hint="eastAsia" w:hAnsi="宋体"/>
              </w:rPr>
            </w:pPr>
            <w:r>
              <w:rPr>
                <w:rFonts w:hint="eastAsia" w:hAnsi="宋体"/>
              </w:rPr>
              <w:t>型   号</w:t>
            </w:r>
          </w:p>
        </w:tc>
        <w:tc>
          <w:tcPr>
            <w:tcW w:w="532" w:type="dxa"/>
            <w:noWrap w:val="0"/>
            <w:vAlign w:val="center"/>
          </w:tcPr>
          <w:p w14:paraId="1A503607">
            <w:pPr>
              <w:spacing w:line="360" w:lineRule="auto"/>
              <w:jc w:val="center"/>
              <w:rPr>
                <w:rFonts w:hint="eastAsia" w:hAnsi="宋体"/>
              </w:rPr>
            </w:pPr>
            <w:r>
              <w:rPr>
                <w:rFonts w:hint="eastAsia" w:hAnsi="宋体"/>
              </w:rPr>
              <w:t>单</w:t>
            </w:r>
          </w:p>
          <w:p w14:paraId="0FAA7045">
            <w:pPr>
              <w:spacing w:line="360" w:lineRule="auto"/>
              <w:jc w:val="center"/>
              <w:rPr>
                <w:rFonts w:hint="eastAsia" w:hAnsi="宋体"/>
              </w:rPr>
            </w:pPr>
            <w:r>
              <w:rPr>
                <w:rFonts w:hint="eastAsia" w:hAnsi="宋体"/>
              </w:rPr>
              <w:t>位</w:t>
            </w:r>
          </w:p>
        </w:tc>
        <w:tc>
          <w:tcPr>
            <w:tcW w:w="532" w:type="dxa"/>
            <w:noWrap w:val="0"/>
            <w:vAlign w:val="center"/>
          </w:tcPr>
          <w:p w14:paraId="5A6E6B08">
            <w:pPr>
              <w:spacing w:line="360" w:lineRule="auto"/>
              <w:jc w:val="center"/>
              <w:rPr>
                <w:rFonts w:hint="eastAsia" w:hAnsi="宋体"/>
              </w:rPr>
            </w:pPr>
            <w:r>
              <w:rPr>
                <w:rFonts w:hint="eastAsia" w:hAnsi="宋体"/>
              </w:rPr>
              <w:t>数</w:t>
            </w:r>
          </w:p>
          <w:p w14:paraId="3FB57DE6">
            <w:pPr>
              <w:spacing w:line="360" w:lineRule="auto"/>
              <w:jc w:val="center"/>
              <w:rPr>
                <w:rFonts w:hint="eastAsia" w:hAnsi="宋体"/>
              </w:rPr>
            </w:pPr>
            <w:r>
              <w:rPr>
                <w:rFonts w:hint="eastAsia" w:hAnsi="宋体"/>
              </w:rPr>
              <w:t>量</w:t>
            </w:r>
          </w:p>
        </w:tc>
        <w:tc>
          <w:tcPr>
            <w:tcW w:w="1553" w:type="dxa"/>
            <w:noWrap w:val="0"/>
            <w:vAlign w:val="center"/>
          </w:tcPr>
          <w:p w14:paraId="79944B1D">
            <w:pPr>
              <w:spacing w:line="360" w:lineRule="auto"/>
              <w:jc w:val="center"/>
              <w:rPr>
                <w:rFonts w:hint="eastAsia" w:hAnsi="宋体"/>
              </w:rPr>
            </w:pPr>
            <w:r>
              <w:rPr>
                <w:rFonts w:hint="eastAsia" w:hAnsi="宋体"/>
              </w:rPr>
              <w:t>产地</w:t>
            </w:r>
          </w:p>
        </w:tc>
        <w:tc>
          <w:tcPr>
            <w:tcW w:w="1232" w:type="dxa"/>
            <w:noWrap w:val="0"/>
            <w:vAlign w:val="center"/>
          </w:tcPr>
          <w:p w14:paraId="0A2376CB">
            <w:pPr>
              <w:spacing w:line="360" w:lineRule="auto"/>
              <w:jc w:val="center"/>
              <w:rPr>
                <w:rFonts w:hint="eastAsia" w:hAnsi="宋体"/>
              </w:rPr>
            </w:pPr>
            <w:r>
              <w:rPr>
                <w:rFonts w:hint="eastAsia" w:hAnsi="宋体"/>
              </w:rPr>
              <w:t>厂家名称</w:t>
            </w:r>
          </w:p>
        </w:tc>
        <w:tc>
          <w:tcPr>
            <w:tcW w:w="1176" w:type="dxa"/>
            <w:noWrap w:val="0"/>
            <w:vAlign w:val="center"/>
          </w:tcPr>
          <w:p w14:paraId="4359DCDD">
            <w:pPr>
              <w:spacing w:line="360" w:lineRule="auto"/>
              <w:jc w:val="center"/>
              <w:rPr>
                <w:rFonts w:hint="eastAsia" w:hAnsi="宋体"/>
              </w:rPr>
            </w:pPr>
            <w:r>
              <w:rPr>
                <w:rFonts w:hint="eastAsia" w:hAnsi="宋体"/>
              </w:rPr>
              <w:t>交货地点</w:t>
            </w:r>
          </w:p>
        </w:tc>
        <w:tc>
          <w:tcPr>
            <w:tcW w:w="686" w:type="dxa"/>
            <w:noWrap w:val="0"/>
            <w:vAlign w:val="center"/>
          </w:tcPr>
          <w:p w14:paraId="58B880ED">
            <w:pPr>
              <w:spacing w:line="360" w:lineRule="auto"/>
              <w:jc w:val="center"/>
              <w:rPr>
                <w:rFonts w:hint="eastAsia" w:hAnsi="宋体"/>
              </w:rPr>
            </w:pPr>
            <w:r>
              <w:rPr>
                <w:rFonts w:hint="eastAsia" w:hAnsi="宋体"/>
              </w:rPr>
              <w:t>备</w:t>
            </w:r>
          </w:p>
          <w:p w14:paraId="307F496C">
            <w:pPr>
              <w:spacing w:line="360" w:lineRule="auto"/>
              <w:jc w:val="center"/>
              <w:rPr>
                <w:rFonts w:hint="eastAsia" w:hAnsi="宋体"/>
              </w:rPr>
            </w:pPr>
            <w:r>
              <w:rPr>
                <w:rFonts w:hint="eastAsia" w:hAnsi="宋体"/>
              </w:rPr>
              <w:t>注</w:t>
            </w:r>
          </w:p>
        </w:tc>
      </w:tr>
      <w:tr w14:paraId="72084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restart"/>
            <w:noWrap w:val="0"/>
            <w:vAlign w:val="top"/>
          </w:tcPr>
          <w:p w14:paraId="01FA16EC">
            <w:pPr>
              <w:spacing w:line="360" w:lineRule="auto"/>
              <w:rPr>
                <w:rFonts w:hint="eastAsia" w:hAnsi="宋体"/>
              </w:rPr>
            </w:pPr>
          </w:p>
        </w:tc>
        <w:tc>
          <w:tcPr>
            <w:tcW w:w="1596" w:type="dxa"/>
            <w:vMerge w:val="restart"/>
            <w:noWrap w:val="0"/>
            <w:vAlign w:val="top"/>
          </w:tcPr>
          <w:p w14:paraId="49AA1378">
            <w:pPr>
              <w:spacing w:line="360" w:lineRule="auto"/>
              <w:rPr>
                <w:rFonts w:hint="eastAsia" w:hAnsi="宋体"/>
              </w:rPr>
            </w:pPr>
          </w:p>
        </w:tc>
        <w:tc>
          <w:tcPr>
            <w:tcW w:w="1218" w:type="dxa"/>
            <w:vMerge w:val="restart"/>
            <w:noWrap w:val="0"/>
            <w:vAlign w:val="top"/>
          </w:tcPr>
          <w:p w14:paraId="188C0791">
            <w:pPr>
              <w:spacing w:line="360" w:lineRule="auto"/>
              <w:rPr>
                <w:rFonts w:hint="eastAsia" w:hAnsi="宋体"/>
              </w:rPr>
            </w:pPr>
          </w:p>
        </w:tc>
        <w:tc>
          <w:tcPr>
            <w:tcW w:w="532" w:type="dxa"/>
            <w:vMerge w:val="restart"/>
            <w:noWrap w:val="0"/>
            <w:vAlign w:val="top"/>
          </w:tcPr>
          <w:p w14:paraId="62B85DF4">
            <w:pPr>
              <w:spacing w:line="360" w:lineRule="auto"/>
              <w:rPr>
                <w:rFonts w:hint="eastAsia" w:hAnsi="宋体"/>
              </w:rPr>
            </w:pPr>
          </w:p>
        </w:tc>
        <w:tc>
          <w:tcPr>
            <w:tcW w:w="532" w:type="dxa"/>
            <w:vMerge w:val="restart"/>
            <w:noWrap w:val="0"/>
            <w:vAlign w:val="top"/>
          </w:tcPr>
          <w:p w14:paraId="12B30EDA">
            <w:pPr>
              <w:spacing w:line="360" w:lineRule="auto"/>
              <w:rPr>
                <w:rFonts w:hint="eastAsia" w:hAnsi="宋体"/>
              </w:rPr>
            </w:pPr>
          </w:p>
        </w:tc>
        <w:tc>
          <w:tcPr>
            <w:tcW w:w="1553" w:type="dxa"/>
            <w:noWrap w:val="0"/>
            <w:vAlign w:val="top"/>
          </w:tcPr>
          <w:p w14:paraId="621B456C">
            <w:pPr>
              <w:spacing w:line="360" w:lineRule="auto"/>
              <w:rPr>
                <w:rFonts w:hint="eastAsia" w:hAnsi="宋体"/>
              </w:rPr>
            </w:pPr>
          </w:p>
        </w:tc>
        <w:tc>
          <w:tcPr>
            <w:tcW w:w="1232" w:type="dxa"/>
            <w:noWrap w:val="0"/>
            <w:vAlign w:val="top"/>
          </w:tcPr>
          <w:p w14:paraId="0835643D">
            <w:pPr>
              <w:spacing w:line="360" w:lineRule="auto"/>
              <w:rPr>
                <w:rFonts w:hint="eastAsia" w:hAnsi="宋体"/>
              </w:rPr>
            </w:pPr>
          </w:p>
        </w:tc>
        <w:tc>
          <w:tcPr>
            <w:tcW w:w="1176" w:type="dxa"/>
            <w:noWrap w:val="0"/>
            <w:vAlign w:val="top"/>
          </w:tcPr>
          <w:p w14:paraId="404877F5">
            <w:pPr>
              <w:spacing w:line="360" w:lineRule="auto"/>
              <w:rPr>
                <w:rFonts w:hint="eastAsia" w:hAnsi="宋体"/>
              </w:rPr>
            </w:pPr>
          </w:p>
        </w:tc>
        <w:tc>
          <w:tcPr>
            <w:tcW w:w="686" w:type="dxa"/>
            <w:noWrap w:val="0"/>
            <w:vAlign w:val="top"/>
          </w:tcPr>
          <w:p w14:paraId="20338C48">
            <w:pPr>
              <w:spacing w:line="360" w:lineRule="auto"/>
              <w:rPr>
                <w:rFonts w:hint="eastAsia" w:hAnsi="宋体"/>
              </w:rPr>
            </w:pPr>
          </w:p>
        </w:tc>
      </w:tr>
      <w:tr w14:paraId="5C62C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continue"/>
            <w:noWrap w:val="0"/>
            <w:vAlign w:val="top"/>
          </w:tcPr>
          <w:p w14:paraId="05B70525">
            <w:pPr>
              <w:spacing w:line="360" w:lineRule="auto"/>
              <w:rPr>
                <w:rFonts w:hint="eastAsia" w:hAnsi="宋体"/>
              </w:rPr>
            </w:pPr>
          </w:p>
        </w:tc>
        <w:tc>
          <w:tcPr>
            <w:tcW w:w="1596" w:type="dxa"/>
            <w:vMerge w:val="continue"/>
            <w:noWrap w:val="0"/>
            <w:vAlign w:val="top"/>
          </w:tcPr>
          <w:p w14:paraId="10F75D07">
            <w:pPr>
              <w:spacing w:line="360" w:lineRule="auto"/>
              <w:rPr>
                <w:rFonts w:hint="eastAsia" w:hAnsi="宋体"/>
              </w:rPr>
            </w:pPr>
          </w:p>
        </w:tc>
        <w:tc>
          <w:tcPr>
            <w:tcW w:w="1218" w:type="dxa"/>
            <w:vMerge w:val="continue"/>
            <w:noWrap w:val="0"/>
            <w:vAlign w:val="top"/>
          </w:tcPr>
          <w:p w14:paraId="1D0664BC">
            <w:pPr>
              <w:spacing w:line="360" w:lineRule="auto"/>
              <w:rPr>
                <w:rFonts w:hint="eastAsia" w:hAnsi="宋体"/>
              </w:rPr>
            </w:pPr>
          </w:p>
        </w:tc>
        <w:tc>
          <w:tcPr>
            <w:tcW w:w="532" w:type="dxa"/>
            <w:vMerge w:val="continue"/>
            <w:noWrap w:val="0"/>
            <w:vAlign w:val="top"/>
          </w:tcPr>
          <w:p w14:paraId="6B139101">
            <w:pPr>
              <w:spacing w:line="360" w:lineRule="auto"/>
              <w:rPr>
                <w:rFonts w:hint="eastAsia" w:hAnsi="宋体"/>
              </w:rPr>
            </w:pPr>
          </w:p>
        </w:tc>
        <w:tc>
          <w:tcPr>
            <w:tcW w:w="532" w:type="dxa"/>
            <w:vMerge w:val="continue"/>
            <w:noWrap w:val="0"/>
            <w:vAlign w:val="top"/>
          </w:tcPr>
          <w:p w14:paraId="56D469B8">
            <w:pPr>
              <w:spacing w:line="360" w:lineRule="auto"/>
              <w:rPr>
                <w:rFonts w:hint="eastAsia" w:hAnsi="宋体"/>
              </w:rPr>
            </w:pPr>
          </w:p>
        </w:tc>
        <w:tc>
          <w:tcPr>
            <w:tcW w:w="1553" w:type="dxa"/>
            <w:noWrap w:val="0"/>
            <w:vAlign w:val="top"/>
          </w:tcPr>
          <w:p w14:paraId="320C2422">
            <w:pPr>
              <w:spacing w:line="360" w:lineRule="auto"/>
              <w:rPr>
                <w:rFonts w:hint="eastAsia" w:hAnsi="宋体"/>
              </w:rPr>
            </w:pPr>
          </w:p>
        </w:tc>
        <w:tc>
          <w:tcPr>
            <w:tcW w:w="1232" w:type="dxa"/>
            <w:noWrap w:val="0"/>
            <w:vAlign w:val="top"/>
          </w:tcPr>
          <w:p w14:paraId="794A89C9">
            <w:pPr>
              <w:spacing w:line="360" w:lineRule="auto"/>
              <w:rPr>
                <w:rFonts w:hint="eastAsia" w:hAnsi="宋体"/>
              </w:rPr>
            </w:pPr>
          </w:p>
        </w:tc>
        <w:tc>
          <w:tcPr>
            <w:tcW w:w="1176" w:type="dxa"/>
            <w:noWrap w:val="0"/>
            <w:vAlign w:val="top"/>
          </w:tcPr>
          <w:p w14:paraId="20AE771C">
            <w:pPr>
              <w:spacing w:line="360" w:lineRule="auto"/>
              <w:rPr>
                <w:rFonts w:hint="eastAsia" w:hAnsi="宋体"/>
              </w:rPr>
            </w:pPr>
          </w:p>
        </w:tc>
        <w:tc>
          <w:tcPr>
            <w:tcW w:w="686" w:type="dxa"/>
            <w:noWrap w:val="0"/>
            <w:vAlign w:val="top"/>
          </w:tcPr>
          <w:p w14:paraId="7FEEC9F7">
            <w:pPr>
              <w:spacing w:line="360" w:lineRule="auto"/>
              <w:rPr>
                <w:rFonts w:hint="eastAsia" w:hAnsi="宋体"/>
              </w:rPr>
            </w:pPr>
          </w:p>
        </w:tc>
      </w:tr>
      <w:tr w14:paraId="47A032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continue"/>
            <w:noWrap w:val="0"/>
            <w:vAlign w:val="top"/>
          </w:tcPr>
          <w:p w14:paraId="77DFF6AA">
            <w:pPr>
              <w:spacing w:line="360" w:lineRule="auto"/>
              <w:rPr>
                <w:rFonts w:hint="eastAsia" w:hAnsi="宋体"/>
              </w:rPr>
            </w:pPr>
          </w:p>
        </w:tc>
        <w:tc>
          <w:tcPr>
            <w:tcW w:w="1596" w:type="dxa"/>
            <w:vMerge w:val="continue"/>
            <w:noWrap w:val="0"/>
            <w:vAlign w:val="top"/>
          </w:tcPr>
          <w:p w14:paraId="717149B4">
            <w:pPr>
              <w:spacing w:line="360" w:lineRule="auto"/>
              <w:rPr>
                <w:rFonts w:hint="eastAsia" w:hAnsi="宋体"/>
              </w:rPr>
            </w:pPr>
          </w:p>
        </w:tc>
        <w:tc>
          <w:tcPr>
            <w:tcW w:w="1218" w:type="dxa"/>
            <w:vMerge w:val="continue"/>
            <w:noWrap w:val="0"/>
            <w:vAlign w:val="top"/>
          </w:tcPr>
          <w:p w14:paraId="439D1483">
            <w:pPr>
              <w:spacing w:line="360" w:lineRule="auto"/>
              <w:rPr>
                <w:rFonts w:hint="eastAsia" w:hAnsi="宋体"/>
              </w:rPr>
            </w:pPr>
          </w:p>
        </w:tc>
        <w:tc>
          <w:tcPr>
            <w:tcW w:w="532" w:type="dxa"/>
            <w:vMerge w:val="continue"/>
            <w:noWrap w:val="0"/>
            <w:vAlign w:val="top"/>
          </w:tcPr>
          <w:p w14:paraId="6A7BA498">
            <w:pPr>
              <w:spacing w:line="360" w:lineRule="auto"/>
              <w:rPr>
                <w:rFonts w:hint="eastAsia" w:hAnsi="宋体"/>
              </w:rPr>
            </w:pPr>
          </w:p>
        </w:tc>
        <w:tc>
          <w:tcPr>
            <w:tcW w:w="532" w:type="dxa"/>
            <w:vMerge w:val="continue"/>
            <w:noWrap w:val="0"/>
            <w:vAlign w:val="top"/>
          </w:tcPr>
          <w:p w14:paraId="79DBF7AC">
            <w:pPr>
              <w:spacing w:line="360" w:lineRule="auto"/>
              <w:rPr>
                <w:rFonts w:hint="eastAsia" w:hAnsi="宋体"/>
              </w:rPr>
            </w:pPr>
          </w:p>
        </w:tc>
        <w:tc>
          <w:tcPr>
            <w:tcW w:w="1553" w:type="dxa"/>
            <w:noWrap w:val="0"/>
            <w:vAlign w:val="top"/>
          </w:tcPr>
          <w:p w14:paraId="4BA56939">
            <w:pPr>
              <w:spacing w:line="360" w:lineRule="auto"/>
              <w:rPr>
                <w:rFonts w:hint="eastAsia" w:hAnsi="宋体"/>
              </w:rPr>
            </w:pPr>
          </w:p>
        </w:tc>
        <w:tc>
          <w:tcPr>
            <w:tcW w:w="1232" w:type="dxa"/>
            <w:noWrap w:val="0"/>
            <w:vAlign w:val="top"/>
          </w:tcPr>
          <w:p w14:paraId="4AE30FD1">
            <w:pPr>
              <w:spacing w:line="360" w:lineRule="auto"/>
              <w:rPr>
                <w:rFonts w:hint="eastAsia" w:hAnsi="宋体"/>
              </w:rPr>
            </w:pPr>
          </w:p>
        </w:tc>
        <w:tc>
          <w:tcPr>
            <w:tcW w:w="1176" w:type="dxa"/>
            <w:noWrap w:val="0"/>
            <w:vAlign w:val="top"/>
          </w:tcPr>
          <w:p w14:paraId="2EE8C572">
            <w:pPr>
              <w:spacing w:line="360" w:lineRule="auto"/>
              <w:rPr>
                <w:rFonts w:hint="eastAsia" w:hAnsi="宋体"/>
              </w:rPr>
            </w:pPr>
          </w:p>
        </w:tc>
        <w:tc>
          <w:tcPr>
            <w:tcW w:w="686" w:type="dxa"/>
            <w:noWrap w:val="0"/>
            <w:vAlign w:val="top"/>
          </w:tcPr>
          <w:p w14:paraId="7ACA45BA">
            <w:pPr>
              <w:spacing w:line="360" w:lineRule="auto"/>
              <w:rPr>
                <w:rFonts w:hint="eastAsia" w:hAnsi="宋体"/>
              </w:rPr>
            </w:pPr>
          </w:p>
        </w:tc>
      </w:tr>
      <w:tr w14:paraId="3E94C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restart"/>
            <w:noWrap w:val="0"/>
            <w:vAlign w:val="top"/>
          </w:tcPr>
          <w:p w14:paraId="71CDE30E">
            <w:pPr>
              <w:spacing w:line="360" w:lineRule="auto"/>
              <w:rPr>
                <w:rFonts w:hint="eastAsia" w:hAnsi="宋体"/>
              </w:rPr>
            </w:pPr>
          </w:p>
        </w:tc>
        <w:tc>
          <w:tcPr>
            <w:tcW w:w="1596" w:type="dxa"/>
            <w:vMerge w:val="restart"/>
            <w:noWrap w:val="0"/>
            <w:vAlign w:val="top"/>
          </w:tcPr>
          <w:p w14:paraId="1BC4A9C7">
            <w:pPr>
              <w:spacing w:line="360" w:lineRule="auto"/>
              <w:rPr>
                <w:rFonts w:hint="eastAsia" w:hAnsi="宋体"/>
              </w:rPr>
            </w:pPr>
          </w:p>
        </w:tc>
        <w:tc>
          <w:tcPr>
            <w:tcW w:w="1218" w:type="dxa"/>
            <w:vMerge w:val="restart"/>
            <w:noWrap w:val="0"/>
            <w:vAlign w:val="top"/>
          </w:tcPr>
          <w:p w14:paraId="7F807B56">
            <w:pPr>
              <w:spacing w:line="360" w:lineRule="auto"/>
              <w:rPr>
                <w:rFonts w:hint="eastAsia" w:hAnsi="宋体"/>
              </w:rPr>
            </w:pPr>
          </w:p>
        </w:tc>
        <w:tc>
          <w:tcPr>
            <w:tcW w:w="532" w:type="dxa"/>
            <w:vMerge w:val="restart"/>
            <w:noWrap w:val="0"/>
            <w:vAlign w:val="top"/>
          </w:tcPr>
          <w:p w14:paraId="063E8230">
            <w:pPr>
              <w:spacing w:line="360" w:lineRule="auto"/>
              <w:rPr>
                <w:rFonts w:hint="eastAsia" w:hAnsi="宋体"/>
              </w:rPr>
            </w:pPr>
          </w:p>
        </w:tc>
        <w:tc>
          <w:tcPr>
            <w:tcW w:w="532" w:type="dxa"/>
            <w:vMerge w:val="restart"/>
            <w:noWrap w:val="0"/>
            <w:vAlign w:val="top"/>
          </w:tcPr>
          <w:p w14:paraId="6EED1401">
            <w:pPr>
              <w:spacing w:line="360" w:lineRule="auto"/>
              <w:rPr>
                <w:rFonts w:hint="eastAsia" w:hAnsi="宋体"/>
              </w:rPr>
            </w:pPr>
          </w:p>
        </w:tc>
        <w:tc>
          <w:tcPr>
            <w:tcW w:w="1553" w:type="dxa"/>
            <w:noWrap w:val="0"/>
            <w:vAlign w:val="top"/>
          </w:tcPr>
          <w:p w14:paraId="3B647E0F">
            <w:pPr>
              <w:spacing w:line="360" w:lineRule="auto"/>
              <w:rPr>
                <w:rFonts w:hint="eastAsia" w:hAnsi="宋体"/>
              </w:rPr>
            </w:pPr>
          </w:p>
        </w:tc>
        <w:tc>
          <w:tcPr>
            <w:tcW w:w="1232" w:type="dxa"/>
            <w:noWrap w:val="0"/>
            <w:vAlign w:val="top"/>
          </w:tcPr>
          <w:p w14:paraId="1DE34651">
            <w:pPr>
              <w:spacing w:line="360" w:lineRule="auto"/>
              <w:rPr>
                <w:rFonts w:hint="eastAsia" w:hAnsi="宋体"/>
              </w:rPr>
            </w:pPr>
          </w:p>
        </w:tc>
        <w:tc>
          <w:tcPr>
            <w:tcW w:w="1176" w:type="dxa"/>
            <w:noWrap w:val="0"/>
            <w:vAlign w:val="top"/>
          </w:tcPr>
          <w:p w14:paraId="0C380C6D">
            <w:pPr>
              <w:spacing w:line="360" w:lineRule="auto"/>
              <w:rPr>
                <w:rFonts w:hint="eastAsia" w:hAnsi="宋体"/>
              </w:rPr>
            </w:pPr>
          </w:p>
        </w:tc>
        <w:tc>
          <w:tcPr>
            <w:tcW w:w="686" w:type="dxa"/>
            <w:noWrap w:val="0"/>
            <w:vAlign w:val="top"/>
          </w:tcPr>
          <w:p w14:paraId="1731B861">
            <w:pPr>
              <w:spacing w:line="360" w:lineRule="auto"/>
              <w:rPr>
                <w:rFonts w:hint="eastAsia" w:hAnsi="宋体"/>
              </w:rPr>
            </w:pPr>
          </w:p>
        </w:tc>
      </w:tr>
      <w:tr w14:paraId="0D592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continue"/>
            <w:noWrap w:val="0"/>
            <w:vAlign w:val="top"/>
          </w:tcPr>
          <w:p w14:paraId="5DE711C7">
            <w:pPr>
              <w:spacing w:line="360" w:lineRule="auto"/>
              <w:rPr>
                <w:rFonts w:hint="eastAsia" w:hAnsi="宋体"/>
              </w:rPr>
            </w:pPr>
          </w:p>
        </w:tc>
        <w:tc>
          <w:tcPr>
            <w:tcW w:w="1596" w:type="dxa"/>
            <w:vMerge w:val="continue"/>
            <w:noWrap w:val="0"/>
            <w:vAlign w:val="top"/>
          </w:tcPr>
          <w:p w14:paraId="4802E9C0">
            <w:pPr>
              <w:spacing w:line="360" w:lineRule="auto"/>
              <w:rPr>
                <w:rFonts w:hint="eastAsia" w:hAnsi="宋体"/>
              </w:rPr>
            </w:pPr>
          </w:p>
        </w:tc>
        <w:tc>
          <w:tcPr>
            <w:tcW w:w="1218" w:type="dxa"/>
            <w:vMerge w:val="continue"/>
            <w:noWrap w:val="0"/>
            <w:vAlign w:val="top"/>
          </w:tcPr>
          <w:p w14:paraId="081CFDA5">
            <w:pPr>
              <w:spacing w:line="360" w:lineRule="auto"/>
              <w:rPr>
                <w:rFonts w:hint="eastAsia" w:hAnsi="宋体"/>
              </w:rPr>
            </w:pPr>
          </w:p>
        </w:tc>
        <w:tc>
          <w:tcPr>
            <w:tcW w:w="532" w:type="dxa"/>
            <w:vMerge w:val="continue"/>
            <w:noWrap w:val="0"/>
            <w:vAlign w:val="top"/>
          </w:tcPr>
          <w:p w14:paraId="67A55420">
            <w:pPr>
              <w:spacing w:line="360" w:lineRule="auto"/>
              <w:rPr>
                <w:rFonts w:hint="eastAsia" w:hAnsi="宋体"/>
              </w:rPr>
            </w:pPr>
          </w:p>
        </w:tc>
        <w:tc>
          <w:tcPr>
            <w:tcW w:w="532" w:type="dxa"/>
            <w:vMerge w:val="continue"/>
            <w:noWrap w:val="0"/>
            <w:vAlign w:val="top"/>
          </w:tcPr>
          <w:p w14:paraId="3E586692">
            <w:pPr>
              <w:spacing w:line="360" w:lineRule="auto"/>
              <w:rPr>
                <w:rFonts w:hint="eastAsia" w:hAnsi="宋体"/>
              </w:rPr>
            </w:pPr>
          </w:p>
        </w:tc>
        <w:tc>
          <w:tcPr>
            <w:tcW w:w="1553" w:type="dxa"/>
            <w:noWrap w:val="0"/>
            <w:vAlign w:val="top"/>
          </w:tcPr>
          <w:p w14:paraId="26230652">
            <w:pPr>
              <w:spacing w:line="360" w:lineRule="auto"/>
              <w:rPr>
                <w:rFonts w:hint="eastAsia" w:hAnsi="宋体"/>
              </w:rPr>
            </w:pPr>
          </w:p>
        </w:tc>
        <w:tc>
          <w:tcPr>
            <w:tcW w:w="1232" w:type="dxa"/>
            <w:noWrap w:val="0"/>
            <w:vAlign w:val="top"/>
          </w:tcPr>
          <w:p w14:paraId="5687A15E">
            <w:pPr>
              <w:spacing w:line="360" w:lineRule="auto"/>
              <w:rPr>
                <w:rFonts w:hint="eastAsia" w:hAnsi="宋体"/>
              </w:rPr>
            </w:pPr>
          </w:p>
        </w:tc>
        <w:tc>
          <w:tcPr>
            <w:tcW w:w="1176" w:type="dxa"/>
            <w:noWrap w:val="0"/>
            <w:vAlign w:val="top"/>
          </w:tcPr>
          <w:p w14:paraId="72E6C906">
            <w:pPr>
              <w:spacing w:line="360" w:lineRule="auto"/>
              <w:rPr>
                <w:rFonts w:hint="eastAsia" w:hAnsi="宋体"/>
              </w:rPr>
            </w:pPr>
          </w:p>
        </w:tc>
        <w:tc>
          <w:tcPr>
            <w:tcW w:w="686" w:type="dxa"/>
            <w:noWrap w:val="0"/>
            <w:vAlign w:val="top"/>
          </w:tcPr>
          <w:p w14:paraId="193E6F43">
            <w:pPr>
              <w:spacing w:line="360" w:lineRule="auto"/>
              <w:rPr>
                <w:rFonts w:hint="eastAsia" w:hAnsi="宋体"/>
              </w:rPr>
            </w:pPr>
          </w:p>
        </w:tc>
      </w:tr>
      <w:tr w14:paraId="380805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continue"/>
            <w:noWrap w:val="0"/>
            <w:vAlign w:val="top"/>
          </w:tcPr>
          <w:p w14:paraId="2AFBC21B">
            <w:pPr>
              <w:spacing w:line="360" w:lineRule="auto"/>
              <w:rPr>
                <w:rFonts w:hint="eastAsia" w:hAnsi="宋体"/>
              </w:rPr>
            </w:pPr>
          </w:p>
        </w:tc>
        <w:tc>
          <w:tcPr>
            <w:tcW w:w="1596" w:type="dxa"/>
            <w:vMerge w:val="continue"/>
            <w:noWrap w:val="0"/>
            <w:vAlign w:val="top"/>
          </w:tcPr>
          <w:p w14:paraId="13663198">
            <w:pPr>
              <w:spacing w:line="360" w:lineRule="auto"/>
              <w:rPr>
                <w:rFonts w:hint="eastAsia" w:hAnsi="宋体"/>
              </w:rPr>
            </w:pPr>
          </w:p>
        </w:tc>
        <w:tc>
          <w:tcPr>
            <w:tcW w:w="1218" w:type="dxa"/>
            <w:vMerge w:val="continue"/>
            <w:noWrap w:val="0"/>
            <w:vAlign w:val="top"/>
          </w:tcPr>
          <w:p w14:paraId="5860DF05">
            <w:pPr>
              <w:spacing w:line="360" w:lineRule="auto"/>
              <w:rPr>
                <w:rFonts w:hint="eastAsia" w:hAnsi="宋体"/>
              </w:rPr>
            </w:pPr>
          </w:p>
        </w:tc>
        <w:tc>
          <w:tcPr>
            <w:tcW w:w="532" w:type="dxa"/>
            <w:vMerge w:val="continue"/>
            <w:noWrap w:val="0"/>
            <w:vAlign w:val="top"/>
          </w:tcPr>
          <w:p w14:paraId="648D2C45">
            <w:pPr>
              <w:spacing w:line="360" w:lineRule="auto"/>
              <w:rPr>
                <w:rFonts w:hint="eastAsia" w:hAnsi="宋体"/>
              </w:rPr>
            </w:pPr>
          </w:p>
        </w:tc>
        <w:tc>
          <w:tcPr>
            <w:tcW w:w="532" w:type="dxa"/>
            <w:vMerge w:val="continue"/>
            <w:noWrap w:val="0"/>
            <w:vAlign w:val="top"/>
          </w:tcPr>
          <w:p w14:paraId="51245F5E">
            <w:pPr>
              <w:spacing w:line="360" w:lineRule="auto"/>
              <w:rPr>
                <w:rFonts w:hint="eastAsia" w:hAnsi="宋体"/>
              </w:rPr>
            </w:pPr>
          </w:p>
        </w:tc>
        <w:tc>
          <w:tcPr>
            <w:tcW w:w="1553" w:type="dxa"/>
            <w:noWrap w:val="0"/>
            <w:vAlign w:val="top"/>
          </w:tcPr>
          <w:p w14:paraId="44110AE5">
            <w:pPr>
              <w:spacing w:line="360" w:lineRule="auto"/>
              <w:rPr>
                <w:rFonts w:hint="eastAsia" w:hAnsi="宋体"/>
              </w:rPr>
            </w:pPr>
          </w:p>
        </w:tc>
        <w:tc>
          <w:tcPr>
            <w:tcW w:w="1232" w:type="dxa"/>
            <w:noWrap w:val="0"/>
            <w:vAlign w:val="top"/>
          </w:tcPr>
          <w:p w14:paraId="0B869768">
            <w:pPr>
              <w:spacing w:line="360" w:lineRule="auto"/>
              <w:rPr>
                <w:rFonts w:hint="eastAsia" w:hAnsi="宋体"/>
              </w:rPr>
            </w:pPr>
          </w:p>
        </w:tc>
        <w:tc>
          <w:tcPr>
            <w:tcW w:w="1176" w:type="dxa"/>
            <w:noWrap w:val="0"/>
            <w:vAlign w:val="top"/>
          </w:tcPr>
          <w:p w14:paraId="0D3A7F5B">
            <w:pPr>
              <w:spacing w:line="360" w:lineRule="auto"/>
              <w:rPr>
                <w:rFonts w:hint="eastAsia" w:hAnsi="宋体"/>
              </w:rPr>
            </w:pPr>
          </w:p>
        </w:tc>
        <w:tc>
          <w:tcPr>
            <w:tcW w:w="686" w:type="dxa"/>
            <w:noWrap w:val="0"/>
            <w:vAlign w:val="top"/>
          </w:tcPr>
          <w:p w14:paraId="1CB458D4">
            <w:pPr>
              <w:spacing w:line="360" w:lineRule="auto"/>
              <w:rPr>
                <w:rFonts w:hint="eastAsia" w:hAnsi="宋体"/>
              </w:rPr>
            </w:pPr>
          </w:p>
        </w:tc>
      </w:tr>
      <w:tr w14:paraId="5BFAB2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restart"/>
            <w:noWrap w:val="0"/>
            <w:vAlign w:val="top"/>
          </w:tcPr>
          <w:p w14:paraId="6CD7BD34">
            <w:pPr>
              <w:spacing w:line="360" w:lineRule="auto"/>
              <w:rPr>
                <w:rFonts w:hint="eastAsia" w:hAnsi="宋体"/>
              </w:rPr>
            </w:pPr>
          </w:p>
        </w:tc>
        <w:tc>
          <w:tcPr>
            <w:tcW w:w="1596" w:type="dxa"/>
            <w:vMerge w:val="restart"/>
            <w:noWrap w:val="0"/>
            <w:vAlign w:val="top"/>
          </w:tcPr>
          <w:p w14:paraId="10C8E7C7">
            <w:pPr>
              <w:spacing w:line="360" w:lineRule="auto"/>
              <w:rPr>
                <w:rFonts w:hint="eastAsia" w:hAnsi="宋体"/>
              </w:rPr>
            </w:pPr>
          </w:p>
        </w:tc>
        <w:tc>
          <w:tcPr>
            <w:tcW w:w="1218" w:type="dxa"/>
            <w:vMerge w:val="restart"/>
            <w:noWrap w:val="0"/>
            <w:vAlign w:val="top"/>
          </w:tcPr>
          <w:p w14:paraId="0C061B1F">
            <w:pPr>
              <w:spacing w:line="360" w:lineRule="auto"/>
              <w:rPr>
                <w:rFonts w:hint="eastAsia" w:hAnsi="宋体"/>
              </w:rPr>
            </w:pPr>
          </w:p>
        </w:tc>
        <w:tc>
          <w:tcPr>
            <w:tcW w:w="532" w:type="dxa"/>
            <w:vMerge w:val="restart"/>
            <w:noWrap w:val="0"/>
            <w:vAlign w:val="top"/>
          </w:tcPr>
          <w:p w14:paraId="2B3F86EE">
            <w:pPr>
              <w:spacing w:line="360" w:lineRule="auto"/>
              <w:rPr>
                <w:rFonts w:hint="eastAsia" w:hAnsi="宋体"/>
              </w:rPr>
            </w:pPr>
          </w:p>
        </w:tc>
        <w:tc>
          <w:tcPr>
            <w:tcW w:w="532" w:type="dxa"/>
            <w:vMerge w:val="restart"/>
            <w:noWrap w:val="0"/>
            <w:vAlign w:val="top"/>
          </w:tcPr>
          <w:p w14:paraId="62E805E6">
            <w:pPr>
              <w:spacing w:line="360" w:lineRule="auto"/>
              <w:rPr>
                <w:rFonts w:hint="eastAsia" w:hAnsi="宋体"/>
              </w:rPr>
            </w:pPr>
          </w:p>
        </w:tc>
        <w:tc>
          <w:tcPr>
            <w:tcW w:w="1553" w:type="dxa"/>
            <w:noWrap w:val="0"/>
            <w:vAlign w:val="top"/>
          </w:tcPr>
          <w:p w14:paraId="212CE2BF">
            <w:pPr>
              <w:spacing w:line="360" w:lineRule="auto"/>
              <w:rPr>
                <w:rFonts w:hint="eastAsia" w:hAnsi="宋体"/>
              </w:rPr>
            </w:pPr>
          </w:p>
        </w:tc>
        <w:tc>
          <w:tcPr>
            <w:tcW w:w="1232" w:type="dxa"/>
            <w:noWrap w:val="0"/>
            <w:vAlign w:val="top"/>
          </w:tcPr>
          <w:p w14:paraId="5AE723BA">
            <w:pPr>
              <w:spacing w:line="360" w:lineRule="auto"/>
              <w:rPr>
                <w:rFonts w:hint="eastAsia" w:hAnsi="宋体"/>
              </w:rPr>
            </w:pPr>
          </w:p>
        </w:tc>
        <w:tc>
          <w:tcPr>
            <w:tcW w:w="1176" w:type="dxa"/>
            <w:noWrap w:val="0"/>
            <w:vAlign w:val="top"/>
          </w:tcPr>
          <w:p w14:paraId="2FBB4B56">
            <w:pPr>
              <w:spacing w:line="360" w:lineRule="auto"/>
              <w:rPr>
                <w:rFonts w:hint="eastAsia" w:hAnsi="宋体"/>
              </w:rPr>
            </w:pPr>
          </w:p>
        </w:tc>
        <w:tc>
          <w:tcPr>
            <w:tcW w:w="686" w:type="dxa"/>
            <w:noWrap w:val="0"/>
            <w:vAlign w:val="top"/>
          </w:tcPr>
          <w:p w14:paraId="200741A9">
            <w:pPr>
              <w:spacing w:line="360" w:lineRule="auto"/>
              <w:rPr>
                <w:rFonts w:hint="eastAsia" w:hAnsi="宋体"/>
              </w:rPr>
            </w:pPr>
          </w:p>
        </w:tc>
      </w:tr>
      <w:tr w14:paraId="04285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continue"/>
            <w:noWrap w:val="0"/>
            <w:vAlign w:val="top"/>
          </w:tcPr>
          <w:p w14:paraId="65DC5328">
            <w:pPr>
              <w:spacing w:line="360" w:lineRule="auto"/>
              <w:rPr>
                <w:rFonts w:hint="eastAsia" w:hAnsi="宋体"/>
              </w:rPr>
            </w:pPr>
          </w:p>
        </w:tc>
        <w:tc>
          <w:tcPr>
            <w:tcW w:w="1596" w:type="dxa"/>
            <w:vMerge w:val="continue"/>
            <w:noWrap w:val="0"/>
            <w:vAlign w:val="top"/>
          </w:tcPr>
          <w:p w14:paraId="06CF4E43">
            <w:pPr>
              <w:spacing w:line="360" w:lineRule="auto"/>
              <w:rPr>
                <w:rFonts w:hint="eastAsia" w:hAnsi="宋体"/>
              </w:rPr>
            </w:pPr>
          </w:p>
        </w:tc>
        <w:tc>
          <w:tcPr>
            <w:tcW w:w="1218" w:type="dxa"/>
            <w:vMerge w:val="continue"/>
            <w:noWrap w:val="0"/>
            <w:vAlign w:val="top"/>
          </w:tcPr>
          <w:p w14:paraId="7637E61A">
            <w:pPr>
              <w:spacing w:line="360" w:lineRule="auto"/>
              <w:rPr>
                <w:rFonts w:hint="eastAsia" w:hAnsi="宋体"/>
              </w:rPr>
            </w:pPr>
          </w:p>
        </w:tc>
        <w:tc>
          <w:tcPr>
            <w:tcW w:w="532" w:type="dxa"/>
            <w:vMerge w:val="continue"/>
            <w:noWrap w:val="0"/>
            <w:vAlign w:val="top"/>
          </w:tcPr>
          <w:p w14:paraId="60846111">
            <w:pPr>
              <w:spacing w:line="360" w:lineRule="auto"/>
              <w:rPr>
                <w:rFonts w:hint="eastAsia" w:hAnsi="宋体"/>
              </w:rPr>
            </w:pPr>
          </w:p>
        </w:tc>
        <w:tc>
          <w:tcPr>
            <w:tcW w:w="532" w:type="dxa"/>
            <w:vMerge w:val="continue"/>
            <w:noWrap w:val="0"/>
            <w:vAlign w:val="top"/>
          </w:tcPr>
          <w:p w14:paraId="68F7DB21">
            <w:pPr>
              <w:spacing w:line="360" w:lineRule="auto"/>
              <w:rPr>
                <w:rFonts w:hint="eastAsia" w:hAnsi="宋体"/>
              </w:rPr>
            </w:pPr>
          </w:p>
        </w:tc>
        <w:tc>
          <w:tcPr>
            <w:tcW w:w="1553" w:type="dxa"/>
            <w:noWrap w:val="0"/>
            <w:vAlign w:val="top"/>
          </w:tcPr>
          <w:p w14:paraId="74CA09BE">
            <w:pPr>
              <w:spacing w:line="360" w:lineRule="auto"/>
              <w:rPr>
                <w:rFonts w:hint="eastAsia" w:hAnsi="宋体"/>
              </w:rPr>
            </w:pPr>
          </w:p>
        </w:tc>
        <w:tc>
          <w:tcPr>
            <w:tcW w:w="1232" w:type="dxa"/>
            <w:noWrap w:val="0"/>
            <w:vAlign w:val="top"/>
          </w:tcPr>
          <w:p w14:paraId="7FDC8841">
            <w:pPr>
              <w:spacing w:line="360" w:lineRule="auto"/>
              <w:rPr>
                <w:rFonts w:hint="eastAsia" w:hAnsi="宋体"/>
              </w:rPr>
            </w:pPr>
          </w:p>
        </w:tc>
        <w:tc>
          <w:tcPr>
            <w:tcW w:w="1176" w:type="dxa"/>
            <w:noWrap w:val="0"/>
            <w:vAlign w:val="top"/>
          </w:tcPr>
          <w:p w14:paraId="68DBA1E2">
            <w:pPr>
              <w:spacing w:line="360" w:lineRule="auto"/>
              <w:rPr>
                <w:rFonts w:hint="eastAsia" w:hAnsi="宋体"/>
              </w:rPr>
            </w:pPr>
          </w:p>
        </w:tc>
        <w:tc>
          <w:tcPr>
            <w:tcW w:w="686" w:type="dxa"/>
            <w:noWrap w:val="0"/>
            <w:vAlign w:val="top"/>
          </w:tcPr>
          <w:p w14:paraId="3038D897">
            <w:pPr>
              <w:spacing w:line="360" w:lineRule="auto"/>
              <w:rPr>
                <w:rFonts w:hint="eastAsia" w:hAnsi="宋体"/>
              </w:rPr>
            </w:pPr>
          </w:p>
        </w:tc>
      </w:tr>
      <w:tr w14:paraId="713FB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0" w:hRule="exact"/>
        </w:trPr>
        <w:tc>
          <w:tcPr>
            <w:tcW w:w="532" w:type="dxa"/>
            <w:vMerge w:val="continue"/>
            <w:noWrap w:val="0"/>
            <w:vAlign w:val="top"/>
          </w:tcPr>
          <w:p w14:paraId="041984E1">
            <w:pPr>
              <w:spacing w:line="360" w:lineRule="auto"/>
              <w:rPr>
                <w:rFonts w:hint="eastAsia" w:hAnsi="宋体"/>
              </w:rPr>
            </w:pPr>
          </w:p>
        </w:tc>
        <w:tc>
          <w:tcPr>
            <w:tcW w:w="1596" w:type="dxa"/>
            <w:vMerge w:val="continue"/>
            <w:noWrap w:val="0"/>
            <w:vAlign w:val="top"/>
          </w:tcPr>
          <w:p w14:paraId="6788D32E">
            <w:pPr>
              <w:spacing w:line="360" w:lineRule="auto"/>
              <w:rPr>
                <w:rFonts w:hint="eastAsia" w:hAnsi="宋体"/>
              </w:rPr>
            </w:pPr>
          </w:p>
        </w:tc>
        <w:tc>
          <w:tcPr>
            <w:tcW w:w="1218" w:type="dxa"/>
            <w:vMerge w:val="continue"/>
            <w:noWrap w:val="0"/>
            <w:vAlign w:val="top"/>
          </w:tcPr>
          <w:p w14:paraId="6B80316E">
            <w:pPr>
              <w:spacing w:line="360" w:lineRule="auto"/>
              <w:rPr>
                <w:rFonts w:hint="eastAsia" w:hAnsi="宋体"/>
              </w:rPr>
            </w:pPr>
          </w:p>
        </w:tc>
        <w:tc>
          <w:tcPr>
            <w:tcW w:w="532" w:type="dxa"/>
            <w:vMerge w:val="continue"/>
            <w:noWrap w:val="0"/>
            <w:vAlign w:val="top"/>
          </w:tcPr>
          <w:p w14:paraId="09B68D05">
            <w:pPr>
              <w:spacing w:line="360" w:lineRule="auto"/>
              <w:rPr>
                <w:rFonts w:hint="eastAsia" w:hAnsi="宋体"/>
              </w:rPr>
            </w:pPr>
          </w:p>
        </w:tc>
        <w:tc>
          <w:tcPr>
            <w:tcW w:w="532" w:type="dxa"/>
            <w:vMerge w:val="continue"/>
            <w:noWrap w:val="0"/>
            <w:vAlign w:val="top"/>
          </w:tcPr>
          <w:p w14:paraId="114C716C">
            <w:pPr>
              <w:spacing w:line="360" w:lineRule="auto"/>
              <w:rPr>
                <w:rFonts w:hint="eastAsia" w:hAnsi="宋体"/>
              </w:rPr>
            </w:pPr>
          </w:p>
        </w:tc>
        <w:tc>
          <w:tcPr>
            <w:tcW w:w="1553" w:type="dxa"/>
            <w:noWrap w:val="0"/>
            <w:vAlign w:val="top"/>
          </w:tcPr>
          <w:p w14:paraId="53773D43">
            <w:pPr>
              <w:spacing w:line="360" w:lineRule="auto"/>
              <w:rPr>
                <w:rFonts w:hint="eastAsia" w:hAnsi="宋体"/>
              </w:rPr>
            </w:pPr>
          </w:p>
        </w:tc>
        <w:tc>
          <w:tcPr>
            <w:tcW w:w="1232" w:type="dxa"/>
            <w:noWrap w:val="0"/>
            <w:vAlign w:val="top"/>
          </w:tcPr>
          <w:p w14:paraId="59AECF92">
            <w:pPr>
              <w:spacing w:line="360" w:lineRule="auto"/>
              <w:rPr>
                <w:rFonts w:hint="eastAsia" w:hAnsi="宋体"/>
              </w:rPr>
            </w:pPr>
          </w:p>
        </w:tc>
        <w:tc>
          <w:tcPr>
            <w:tcW w:w="1176" w:type="dxa"/>
            <w:noWrap w:val="0"/>
            <w:vAlign w:val="top"/>
          </w:tcPr>
          <w:p w14:paraId="5417EDDA">
            <w:pPr>
              <w:spacing w:line="360" w:lineRule="auto"/>
              <w:rPr>
                <w:rFonts w:hint="eastAsia" w:hAnsi="宋体"/>
              </w:rPr>
            </w:pPr>
          </w:p>
        </w:tc>
        <w:tc>
          <w:tcPr>
            <w:tcW w:w="686" w:type="dxa"/>
            <w:noWrap w:val="0"/>
            <w:vAlign w:val="top"/>
          </w:tcPr>
          <w:p w14:paraId="4BFFA5C1">
            <w:pPr>
              <w:spacing w:line="360" w:lineRule="auto"/>
              <w:rPr>
                <w:rFonts w:hint="eastAsia" w:hAnsi="宋体"/>
              </w:rPr>
            </w:pPr>
          </w:p>
        </w:tc>
      </w:tr>
    </w:tbl>
    <w:p w14:paraId="6BD65A3A">
      <w:pPr>
        <w:spacing w:line="360" w:lineRule="auto"/>
        <w:rPr>
          <w:rFonts w:hAnsi="宋体"/>
        </w:rPr>
      </w:pPr>
      <w:r>
        <w:rPr>
          <w:rFonts w:hint="eastAsia" w:hAnsi="宋体"/>
        </w:rPr>
        <w:t xml:space="preserve"> 注：上表中的分包厂家短名单应在招标人考察后由招标人最终确定。</w:t>
      </w:r>
      <w:bookmarkEnd w:id="53"/>
    </w:p>
    <w:p w14:paraId="240D3387">
      <w:pPr>
        <w:spacing w:line="360" w:lineRule="auto"/>
        <w:rPr>
          <w:rFonts w:hint="eastAsia" w:ascii="宋体" w:hAnsi="宋体"/>
          <w:bCs/>
          <w:sz w:val="28"/>
          <w:szCs w:val="28"/>
        </w:rPr>
      </w:pPr>
    </w:p>
    <w:p w14:paraId="6463D644">
      <w:pPr>
        <w:spacing w:line="360" w:lineRule="auto"/>
        <w:rPr>
          <w:rFonts w:hint="eastAsia" w:ascii="宋体" w:hAnsi="宋体"/>
          <w:bCs/>
          <w:sz w:val="28"/>
          <w:szCs w:val="28"/>
        </w:rPr>
      </w:pPr>
    </w:p>
    <w:p w14:paraId="283CA88B">
      <w:pPr>
        <w:spacing w:line="360" w:lineRule="auto"/>
        <w:rPr>
          <w:rFonts w:hint="eastAsia" w:ascii="宋体" w:hAnsi="宋体"/>
          <w:bCs/>
          <w:sz w:val="28"/>
          <w:szCs w:val="28"/>
        </w:rPr>
      </w:pPr>
    </w:p>
    <w:p w14:paraId="3D018C68">
      <w:pPr>
        <w:spacing w:line="360" w:lineRule="auto"/>
        <w:rPr>
          <w:rFonts w:hint="eastAsia" w:ascii="宋体" w:hAnsi="宋体"/>
          <w:bCs/>
          <w:sz w:val="28"/>
          <w:szCs w:val="28"/>
        </w:rPr>
      </w:pPr>
    </w:p>
    <w:p w14:paraId="26335651">
      <w:pPr>
        <w:spacing w:line="360" w:lineRule="auto"/>
        <w:rPr>
          <w:rFonts w:hint="eastAsia" w:ascii="宋体" w:hAnsi="宋体"/>
          <w:bCs/>
          <w:sz w:val="28"/>
          <w:szCs w:val="28"/>
        </w:rPr>
      </w:pPr>
    </w:p>
    <w:p w14:paraId="52E53400">
      <w:pPr>
        <w:spacing w:line="360" w:lineRule="auto"/>
        <w:rPr>
          <w:rFonts w:hint="eastAsia" w:ascii="宋体" w:hAnsi="宋体"/>
          <w:bCs/>
          <w:sz w:val="28"/>
          <w:szCs w:val="28"/>
        </w:rPr>
      </w:pPr>
    </w:p>
    <w:p w14:paraId="37076E40">
      <w:pPr>
        <w:spacing w:line="360" w:lineRule="auto"/>
        <w:rPr>
          <w:rFonts w:hint="eastAsia" w:ascii="宋体" w:hAnsi="宋体"/>
          <w:bCs/>
          <w:sz w:val="28"/>
          <w:szCs w:val="28"/>
        </w:rPr>
      </w:pPr>
    </w:p>
    <w:p w14:paraId="3E529094">
      <w:pPr>
        <w:spacing w:line="360" w:lineRule="auto"/>
        <w:rPr>
          <w:rFonts w:hint="default" w:ascii="宋体" w:hAnsi="宋体" w:eastAsia="宋体"/>
          <w:bCs/>
          <w:sz w:val="28"/>
          <w:szCs w:val="28"/>
          <w:lang w:val="en-US" w:eastAsia="zh-CN"/>
        </w:rPr>
      </w:pPr>
    </w:p>
    <w:p w14:paraId="0C56FDCF">
      <w:pPr>
        <w:spacing w:after="120" w:afterLines="50" w:line="480" w:lineRule="auto"/>
        <w:jc w:val="both"/>
        <w:rPr>
          <w:rFonts w:ascii="Arial" w:eastAsia="黑体" w:cs="Arial"/>
          <w:bCs/>
          <w:sz w:val="44"/>
          <w:szCs w:val="21"/>
        </w:rPr>
      </w:pPr>
    </w:p>
    <w:sectPr>
      <w:headerReference r:id="rId9" w:type="default"/>
      <w:footerReference r:id="rId10" w:type="default"/>
      <w:pgSz w:w="11907" w:h="16840"/>
      <w:pgMar w:top="1418" w:right="1418" w:bottom="1077" w:left="1418" w:header="851" w:footer="851"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auto"/>
    <w:pitch w:val="default"/>
    <w:sig w:usb0="E4002EFF" w:usb1="C000E47F" w:usb2="00000009" w:usb3="00000000" w:csb0="200001FF" w:csb1="00000000"/>
  </w:font>
  <w:font w:name="Times">
    <w:altName w:val="Times New Roman"/>
    <w:panose1 w:val="02020603050405020304"/>
    <w:charset w:val="00"/>
    <w:family w:val="roman"/>
    <w:pitch w:val="default"/>
    <w:sig w:usb0="00000000" w:usb1="00000000" w:usb2="00000008" w:usb3="00000000" w:csb0="000001F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88E1B">
    <w:pPr>
      <w:pStyle w:val="37"/>
      <w:jc w:val="center"/>
    </w:pPr>
    <w:r>
      <w:fldChar w:fldCharType="begin"/>
    </w:r>
    <w:r>
      <w:instrText xml:space="preserve"> PAGE   \* MERGEFORMAT </w:instrText>
    </w:r>
    <w:r>
      <w:fldChar w:fldCharType="separate"/>
    </w:r>
    <w:r>
      <w:rPr>
        <w:lang w:val="zh-CN"/>
      </w:rPr>
      <w:t>13</w:t>
    </w:r>
    <w:r>
      <w:fldChar w:fldCharType="end"/>
    </w:r>
  </w:p>
  <w:p w14:paraId="56702EEC">
    <w:pPr>
      <w:pStyle w:val="3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219D9">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4786">
    <w:pPr>
      <w:pStyle w:val="3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713295"/>
      <w:docPartObj>
        <w:docPartGallery w:val="autotext"/>
      </w:docPartObj>
    </w:sdtPr>
    <w:sdtContent>
      <w:p w14:paraId="52190B60">
        <w:pPr>
          <w:pStyle w:val="37"/>
          <w:jc w:val="center"/>
        </w:pPr>
        <w:r>
          <w:fldChar w:fldCharType="begin"/>
        </w:r>
        <w:r>
          <w:instrText xml:space="preserve">PAGE   \* MERGEFORMAT</w:instrText>
        </w:r>
        <w:r>
          <w:fldChar w:fldCharType="separate"/>
        </w:r>
        <w:r>
          <w:rPr>
            <w:lang w:val="zh-CN"/>
          </w:rPr>
          <w:t>2</w:t>
        </w:r>
        <w:r>
          <w:fldChar w:fldCharType="end"/>
        </w:r>
      </w:p>
    </w:sdtContent>
  </w:sdt>
  <w:p w14:paraId="3A0499D4">
    <w:pPr>
      <w:pStyle w:val="37"/>
    </w:pPr>
  </w:p>
  <w:p w14:paraId="5BB766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B34E6">
    <w:pPr>
      <w:pStyle w:val="3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51741">
    <w:pPr>
      <w:pStyle w:val="3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7DE43">
    <w:pPr>
      <w:pStyle w:val="3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93F2">
    <w:pPr>
      <w:pStyle w:val="2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503555</wp:posOffset>
              </wp:positionV>
              <wp:extent cx="5892165" cy="23177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5892165" cy="231775"/>
                      </a:xfrm>
                      <a:prstGeom prst="rect">
                        <a:avLst/>
                      </a:prstGeom>
                      <a:noFill/>
                      <a:ln>
                        <a:noFill/>
                      </a:ln>
                    </wps:spPr>
                    <wps:txbx>
                      <w:txbxContent>
                        <w:p w14:paraId="27460BEE"/>
                      </w:txbxContent>
                    </wps:txbx>
                    <wps:bodyPr lIns="0" tIns="0" rIns="0" bIns="0" upright="1"/>
                  </wps:wsp>
                </a:graphicData>
              </a:graphic>
            </wp:anchor>
          </w:drawing>
        </mc:Choice>
        <mc:Fallback>
          <w:pict>
            <v:shape id="文本框 14" o:spid="_x0000_s1026" o:spt="202" type="#_x0000_t202" style="position:absolute;left:0pt;margin-left:62.1pt;margin-top:39.65pt;height:18.25pt;width:463.95pt;mso-position-horizontal-relative:page;mso-position-vertical-relative:page;z-index:-251657216;mso-width-relative:page;mso-height-relative:page;" filled="f" stroked="f" coordsize="21600,21600" o:gfxdata="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ulZ/x2QAAAAsBAAAPAAAAAAAAAAEAIAAAACIAAABkcnMvZG93bnJldi54bWxQ&#10;SwECFAAUAAAACACHTuJAVxEP670BAAB0AwAADgAAAAAAAAABACAAAAAoAQAAZHJzL2Uyb0RvYy54&#10;bWxQSwUGAAAAAAYABgBZAQAAVwUAAAAA&#10;">
              <v:fill on="f" focussize="0,0"/>
              <v:stroke on="f"/>
              <v:imagedata o:title=""/>
              <o:lock v:ext="edit" aspectratio="f"/>
              <v:textbox inset="0mm,0mm,0mm,0mm">
                <w:txbxContent>
                  <w:p w14:paraId="27460BEE"/>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827405</wp:posOffset>
              </wp:positionH>
              <wp:positionV relativeFrom="page">
                <wp:posOffset>671830</wp:posOffset>
              </wp:positionV>
              <wp:extent cx="5886450" cy="0"/>
              <wp:effectExtent l="0" t="4445" r="0" b="5080"/>
              <wp:wrapNone/>
              <wp:docPr id="29" name="直线 13"/>
              <wp:cNvGraphicFramePr/>
              <a:graphic xmlns:a="http://schemas.openxmlformats.org/drawingml/2006/main">
                <a:graphicData uri="http://schemas.microsoft.com/office/word/2010/wordprocessingShape">
                  <wps:wsp>
                    <wps:cNvCnPr/>
                    <wps:spPr>
                      <a:xfrm>
                        <a:off x="0" y="0"/>
                        <a:ext cx="5886450" cy="0"/>
                      </a:xfrm>
                      <a:prstGeom prst="line">
                        <a:avLst/>
                      </a:prstGeom>
                      <a:ln w="571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65.15pt;margin-top:52.9pt;height:0pt;width:463.5pt;mso-position-horizontal-relative:page;mso-position-vertical-relative:page;z-index:-251657216;mso-width-relative:page;mso-height-relative:page;" filled="f" stroked="t" coordsize="21600,21600" o:gfxdata="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NijnW&#10;AAAADAEAAA8AAAAAAAAAAQAgAAAAIgAAAGRycy9kb3ducmV2LnhtbFBLAQIUABQAAAAIAIdO4kBF&#10;FgcM6QEAAN0DAAAOAAAAAAAAAAEAIAAAACUBAABkcnMvZTJvRG9jLnhtbFBLBQYAAAAABgAGAFkB&#10;AACABQAAAAA=&#10;">
              <v:fill on="f" focussize="0,0"/>
              <v:stroke weight="0.45pt" color="#000000" joinstyle="round"/>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6244590</wp:posOffset>
              </wp:positionH>
              <wp:positionV relativeFrom="page">
                <wp:posOffset>545465</wp:posOffset>
              </wp:positionV>
              <wp:extent cx="482600" cy="139700"/>
              <wp:effectExtent l="0" t="0" r="0" b="0"/>
              <wp:wrapNone/>
              <wp:docPr id="31" name="文本框 15"/>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1938DE08"/>
                      </w:txbxContent>
                    </wps:txbx>
                    <wps:bodyPr lIns="0" tIns="0" rIns="0" bIns="0" upright="1"/>
                  </wps:wsp>
                </a:graphicData>
              </a:graphic>
            </wp:anchor>
          </w:drawing>
        </mc:Choice>
        <mc:Fallback>
          <w:pict>
            <v:shape id="文本框 15" o:spid="_x0000_s1026" o:spt="202" type="#_x0000_t202" style="position:absolute;left:0pt;margin-left:491.7pt;margin-top:42.95pt;height:11pt;width:38pt;mso-position-horizontal-relative:page;mso-position-vertical-relative:page;z-index:-251657216;mso-width-relative:page;mso-height-relative:page;" filled="f" stroked="f" coordsize="21600,21600" o:gfxdata="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L6C2AAAAAsBAAAPAAAAAAAAAAEAIAAAACIAAABkcnMvZG93bnJldi54bWxQSwEC&#10;FAAUAAAACACHTuJA0X70P7sBAABzAwAADgAAAAAAAAABACAAAAAnAQAAZHJzL2Uyb0RvYy54bWxQ&#10;SwUGAAAAAAYABgBZAQAAVAUAAAAA&#10;">
              <v:fill on="f" focussize="0,0"/>
              <v:stroke on="f"/>
              <v:imagedata o:title=""/>
              <o:lock v:ext="edit" aspectratio="f"/>
              <v:textbox inset="0mm,0mm,0mm,0mm">
                <w:txbxContent>
                  <w:p w14:paraId="1938DE08"/>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3"/>
      <w:numFmt w:val="decimal"/>
      <w:pStyle w:val="296"/>
      <w:lvlText w:val="%1"/>
      <w:lvlJc w:val="left"/>
      <w:pPr>
        <w:tabs>
          <w:tab w:val="left" w:pos="600"/>
        </w:tabs>
        <w:ind w:left="600" w:hanging="600"/>
      </w:pPr>
      <w:rPr>
        <w:rFonts w:hint="default"/>
      </w:rPr>
    </w:lvl>
    <w:lvl w:ilvl="1" w:tentative="0">
      <w:start w:val="3"/>
      <w:numFmt w:val="decimal"/>
      <w:lvlText w:val="%1.%2"/>
      <w:lvlJc w:val="left"/>
      <w:pPr>
        <w:tabs>
          <w:tab w:val="left" w:pos="600"/>
        </w:tabs>
        <w:ind w:left="600" w:hanging="600"/>
      </w:pPr>
      <w:rPr>
        <w:rFonts w:hint="default"/>
      </w:rPr>
    </w:lvl>
    <w:lvl w:ilvl="2" w:tentative="0">
      <w:start w:val="1"/>
      <w:numFmt w:val="decimal"/>
      <w:lvlText w:val="%1.%2.%3"/>
      <w:lvlJc w:val="left"/>
      <w:pPr>
        <w:tabs>
          <w:tab w:val="left" w:pos="600"/>
        </w:tabs>
        <w:ind w:left="600" w:hanging="600"/>
      </w:pPr>
      <w:rPr>
        <w:rFonts w:hint="default"/>
      </w:rPr>
    </w:lvl>
    <w:lvl w:ilvl="3" w:tentative="0">
      <w:start w:val="1"/>
      <w:numFmt w:val="decimal"/>
      <w:lvlText w:val="%1.%2.%3.%4"/>
      <w:lvlJc w:val="left"/>
      <w:pPr>
        <w:tabs>
          <w:tab w:val="left" w:pos="600"/>
        </w:tabs>
        <w:ind w:left="600" w:hanging="60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1">
    <w:nsid w:val="00000004"/>
    <w:multiLevelType w:val="multilevel"/>
    <w:tmpl w:val="00000004"/>
    <w:lvl w:ilvl="0" w:tentative="0">
      <w:start w:val="2"/>
      <w:numFmt w:val="decimal"/>
      <w:lvlText w:val="%1"/>
      <w:lvlJc w:val="left"/>
      <w:pPr>
        <w:ind w:left="600" w:hanging="600"/>
      </w:pPr>
      <w:rPr>
        <w:rFonts w:hint="default"/>
      </w:rPr>
    </w:lvl>
    <w:lvl w:ilvl="1" w:tentative="0">
      <w:start w:val="5"/>
      <w:numFmt w:val="decimal"/>
      <w:lvlText w:val="%1.%2"/>
      <w:lvlJc w:val="left"/>
      <w:pPr>
        <w:ind w:left="600" w:hanging="600"/>
      </w:pPr>
      <w:rPr>
        <w:rFonts w:hint="default"/>
      </w:rPr>
    </w:lvl>
    <w:lvl w:ilvl="2" w:tentative="0">
      <w:start w:val="24"/>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0000000A"/>
    <w:multiLevelType w:val="multilevel"/>
    <w:tmpl w:val="0000000A"/>
    <w:lvl w:ilvl="0" w:tentative="0">
      <w:start w:val="1"/>
      <w:numFmt w:val="bullet"/>
      <w:pStyle w:val="275"/>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B"/>
    <w:multiLevelType w:val="multilevel"/>
    <w:tmpl w:val="0000000B"/>
    <w:lvl w:ilvl="0" w:tentative="0">
      <w:start w:val="2"/>
      <w:numFmt w:val="decimal"/>
      <w:lvlText w:val="%1"/>
      <w:lvlJc w:val="left"/>
      <w:pPr>
        <w:ind w:left="360" w:hanging="360"/>
      </w:pPr>
      <w:rPr>
        <w:rFonts w:hint="default"/>
      </w:rPr>
    </w:lvl>
    <w:lvl w:ilvl="1" w:tentative="0">
      <w:start w:val="5"/>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00000011"/>
    <w:multiLevelType w:val="multilevel"/>
    <w:tmpl w:val="00000011"/>
    <w:lvl w:ilvl="0" w:tentative="0">
      <w:start w:val="1"/>
      <w:numFmt w:val="bullet"/>
      <w:lvlText w:val=""/>
      <w:lvlJc w:val="left"/>
      <w:pPr>
        <w:tabs>
          <w:tab w:val="left" w:pos="420"/>
        </w:tabs>
        <w:ind w:left="1134" w:hanging="567"/>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upperLetter"/>
      <w:lvlText w:val="%9."/>
      <w:lvlJc w:val="left"/>
      <w:pPr>
        <w:tabs>
          <w:tab w:val="left" w:pos="567"/>
        </w:tabs>
        <w:ind w:left="3780" w:hanging="2929"/>
      </w:pPr>
      <w:rPr>
        <w:rFonts w:hint="default"/>
        <w:color w:val="auto"/>
      </w:rPr>
    </w:lvl>
  </w:abstractNum>
  <w:abstractNum w:abstractNumId="5">
    <w:nsid w:val="00000012"/>
    <w:multiLevelType w:val="multilevel"/>
    <w:tmpl w:val="00000012"/>
    <w:lvl w:ilvl="0" w:tentative="0">
      <w:start w:val="2"/>
      <w:numFmt w:val="decimal"/>
      <w:lvlText w:val="%1"/>
      <w:lvlJc w:val="left"/>
      <w:pPr>
        <w:ind w:left="480" w:hanging="480"/>
      </w:pPr>
      <w:rPr>
        <w:rFonts w:hint="default"/>
      </w:rPr>
    </w:lvl>
    <w:lvl w:ilvl="1" w:tentative="0">
      <w:start w:val="5"/>
      <w:numFmt w:val="decimal"/>
      <w:lvlText w:val="%1.%2"/>
      <w:lvlJc w:val="left"/>
      <w:pPr>
        <w:ind w:left="480" w:hanging="480"/>
      </w:pPr>
      <w:rPr>
        <w:rFonts w:hint="default"/>
      </w:rPr>
    </w:lvl>
    <w:lvl w:ilvl="2" w:tentative="0">
      <w:start w:val="3"/>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00000014"/>
    <w:multiLevelType w:val="singleLevel"/>
    <w:tmpl w:val="00000014"/>
    <w:lvl w:ilvl="0" w:tentative="0">
      <w:start w:val="1"/>
      <w:numFmt w:val="lowerLetter"/>
      <w:lvlText w:val="%1."/>
      <w:lvlJc w:val="left"/>
      <w:pPr>
        <w:tabs>
          <w:tab w:val="left" w:pos="288"/>
        </w:tabs>
        <w:ind w:left="288" w:hanging="288"/>
      </w:pPr>
      <w:rPr>
        <w:rFonts w:hint="eastAsia"/>
      </w:rPr>
    </w:lvl>
  </w:abstractNum>
  <w:abstractNum w:abstractNumId="7">
    <w:nsid w:val="0B4631B2"/>
    <w:multiLevelType w:val="multilevel"/>
    <w:tmpl w:val="0B4631B2"/>
    <w:lvl w:ilvl="0" w:tentative="0">
      <w:start w:val="1"/>
      <w:numFmt w:val="decimal"/>
      <w:pStyle w:val="261"/>
      <w:lvlText w:val="（%1）"/>
      <w:lvlJc w:val="right"/>
      <w:pPr>
        <w:tabs>
          <w:tab w:val="left" w:pos="560"/>
        </w:tabs>
        <w:ind w:left="56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E462605"/>
    <w:multiLevelType w:val="multilevel"/>
    <w:tmpl w:val="1E462605"/>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pStyle w:val="280"/>
      <w:lvlText w:val="%1.%2.%3"/>
      <w:lvlJc w:val="left"/>
      <w:pPr>
        <w:tabs>
          <w:tab w:val="left" w:pos="495"/>
        </w:tabs>
        <w:ind w:left="495" w:hanging="495"/>
      </w:pPr>
      <w:rPr>
        <w:rFonts w:hint="default"/>
      </w:rPr>
    </w:lvl>
    <w:lvl w:ilvl="3" w:tentative="0">
      <w:start w:val="1"/>
      <w:numFmt w:val="decimal"/>
      <w:pStyle w:val="91"/>
      <w:lvlText w:val="%1.%2.%3.%4"/>
      <w:lvlJc w:val="left"/>
      <w:pPr>
        <w:tabs>
          <w:tab w:val="left" w:pos="720"/>
        </w:tabs>
        <w:ind w:left="495" w:hanging="495"/>
      </w:pPr>
      <w:rPr>
        <w:rFonts w:hint="default"/>
      </w:rPr>
    </w:lvl>
    <w:lvl w:ilvl="4" w:tentative="0">
      <w:start w:val="1"/>
      <w:numFmt w:val="decimal"/>
      <w:lvlText w:val="%1.%2.%3.%4.%5"/>
      <w:lvlJc w:val="left"/>
      <w:pPr>
        <w:tabs>
          <w:tab w:val="left" w:pos="495"/>
        </w:tabs>
        <w:ind w:left="495" w:hanging="495"/>
      </w:pPr>
      <w:rPr>
        <w:rFonts w:hint="default"/>
      </w:rPr>
    </w:lvl>
    <w:lvl w:ilvl="5" w:tentative="0">
      <w:start w:val="1"/>
      <w:numFmt w:val="decimal"/>
      <w:lvlText w:val="%1.%2.%3.%4.%5.%6"/>
      <w:lvlJc w:val="left"/>
      <w:pPr>
        <w:tabs>
          <w:tab w:val="left" w:pos="495"/>
        </w:tabs>
        <w:ind w:left="495" w:hanging="495"/>
      </w:pPr>
      <w:rPr>
        <w:rFonts w:hint="default"/>
      </w:rPr>
    </w:lvl>
    <w:lvl w:ilvl="6" w:tentative="0">
      <w:start w:val="1"/>
      <w:numFmt w:val="decimal"/>
      <w:lvlText w:val="%1.%2.%3.%4.%5.%6.%7"/>
      <w:lvlJc w:val="left"/>
      <w:pPr>
        <w:tabs>
          <w:tab w:val="left" w:pos="495"/>
        </w:tabs>
        <w:ind w:left="495" w:hanging="495"/>
      </w:pPr>
      <w:rPr>
        <w:rFonts w:hint="default"/>
      </w:rPr>
    </w:lvl>
    <w:lvl w:ilvl="7" w:tentative="0">
      <w:start w:val="1"/>
      <w:numFmt w:val="decimal"/>
      <w:lvlText w:val="%1.%2.%3.%4.%5.%6.%7.%8"/>
      <w:lvlJc w:val="left"/>
      <w:pPr>
        <w:tabs>
          <w:tab w:val="left" w:pos="495"/>
        </w:tabs>
        <w:ind w:left="495" w:hanging="495"/>
      </w:pPr>
      <w:rPr>
        <w:rFonts w:hint="default"/>
      </w:rPr>
    </w:lvl>
    <w:lvl w:ilvl="8" w:tentative="0">
      <w:start w:val="1"/>
      <w:numFmt w:val="decimal"/>
      <w:lvlText w:val="%1.%2.%3.%4.%5.%6.%7.%8.%9"/>
      <w:lvlJc w:val="left"/>
      <w:pPr>
        <w:tabs>
          <w:tab w:val="left" w:pos="495"/>
        </w:tabs>
        <w:ind w:left="495" w:hanging="495"/>
      </w:pPr>
      <w:rPr>
        <w:rFonts w:hint="default"/>
      </w:rPr>
    </w:lvl>
  </w:abstractNum>
  <w:abstractNum w:abstractNumId="9">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5"/>
      <w:lvlText w:val="%3."/>
      <w:lvlJc w:val="right"/>
      <w:pPr>
        <w:ind w:left="1260" w:hanging="420"/>
      </w:pPr>
    </w:lvl>
    <w:lvl w:ilvl="3" w:tentative="0">
      <w:start w:val="1"/>
      <w:numFmt w:val="decimal"/>
      <w:pStyle w:val="6"/>
      <w:lvlText w:val="%4."/>
      <w:lvlJc w:val="left"/>
      <w:pPr>
        <w:ind w:left="1680" w:hanging="420"/>
      </w:pPr>
    </w:lvl>
    <w:lvl w:ilvl="4" w:tentative="0">
      <w:start w:val="1"/>
      <w:numFmt w:val="lowerLetter"/>
      <w:pStyle w:val="7"/>
      <w:lvlText w:val="%5)"/>
      <w:lvlJc w:val="left"/>
      <w:pPr>
        <w:ind w:left="2100" w:hanging="420"/>
      </w:pPr>
    </w:lvl>
    <w:lvl w:ilvl="5" w:tentative="0">
      <w:start w:val="1"/>
      <w:numFmt w:val="lowerRoman"/>
      <w:pStyle w:val="8"/>
      <w:lvlText w:val="%6."/>
      <w:lvlJc w:val="right"/>
      <w:pPr>
        <w:ind w:left="2520" w:hanging="420"/>
      </w:pPr>
    </w:lvl>
    <w:lvl w:ilvl="6" w:tentative="0">
      <w:start w:val="1"/>
      <w:numFmt w:val="decimal"/>
      <w:pStyle w:val="9"/>
      <w:lvlText w:val="%7."/>
      <w:lvlJc w:val="left"/>
      <w:pPr>
        <w:ind w:left="2940" w:hanging="420"/>
      </w:pPr>
    </w:lvl>
    <w:lvl w:ilvl="7" w:tentative="0">
      <w:start w:val="1"/>
      <w:numFmt w:val="lowerLetter"/>
      <w:pStyle w:val="10"/>
      <w:lvlText w:val="%8)"/>
      <w:lvlJc w:val="left"/>
      <w:pPr>
        <w:ind w:left="3360" w:hanging="420"/>
      </w:pPr>
    </w:lvl>
    <w:lvl w:ilvl="8" w:tentative="0">
      <w:start w:val="1"/>
      <w:numFmt w:val="lowerRoman"/>
      <w:pStyle w:val="11"/>
      <w:lvlText w:val="%9."/>
      <w:lvlJc w:val="right"/>
      <w:pPr>
        <w:ind w:left="3780" w:hanging="420"/>
      </w:pPr>
    </w:lvl>
  </w:abstractNum>
  <w:abstractNum w:abstractNumId="10">
    <w:nsid w:val="6063AD4D"/>
    <w:multiLevelType w:val="singleLevel"/>
    <w:tmpl w:val="6063AD4D"/>
    <w:lvl w:ilvl="0" w:tentative="0">
      <w:start w:val="1"/>
      <w:numFmt w:val="bullet"/>
      <w:pStyle w:val="20"/>
      <w:lvlText w:val=""/>
      <w:lvlJc w:val="left"/>
      <w:pPr>
        <w:tabs>
          <w:tab w:val="left" w:pos="360"/>
        </w:tabs>
        <w:ind w:left="360" w:hanging="360"/>
      </w:pPr>
      <w:rPr>
        <w:rFonts w:hint="default" w:ascii="Wingdings" w:hAnsi="Wingdings"/>
      </w:rPr>
    </w:lvl>
  </w:abstractNum>
  <w:abstractNum w:abstractNumId="11">
    <w:nsid w:val="7ABF536F"/>
    <w:multiLevelType w:val="singleLevel"/>
    <w:tmpl w:val="7ABF536F"/>
    <w:lvl w:ilvl="0" w:tentative="0">
      <w:start w:val="1"/>
      <w:numFmt w:val="decimal"/>
      <w:pStyle w:val="42"/>
      <w:lvlText w:val="%1."/>
      <w:lvlJc w:val="left"/>
      <w:pPr>
        <w:tabs>
          <w:tab w:val="left" w:pos="2040"/>
        </w:tabs>
        <w:ind w:left="2040" w:hanging="360"/>
      </w:pPr>
    </w:lvl>
  </w:abstractNum>
  <w:num w:numId="1">
    <w:abstractNumId w:val="9"/>
  </w:num>
  <w:num w:numId="2">
    <w:abstractNumId w:val="10"/>
  </w:num>
  <w:num w:numId="3">
    <w:abstractNumId w:val="11"/>
  </w:num>
  <w:num w:numId="4">
    <w:abstractNumId w:val="8"/>
  </w:num>
  <w:num w:numId="5">
    <w:abstractNumId w:val="7"/>
  </w:num>
  <w:num w:numId="6">
    <w:abstractNumId w:val="2"/>
  </w:num>
  <w:num w:numId="7">
    <w:abstractNumId w:val="0"/>
  </w:num>
  <w:num w:numId="8">
    <w:abstractNumId w:val="3"/>
  </w:num>
  <w:num w:numId="9">
    <w:abstractNumId w:val="5"/>
  </w:num>
  <w:num w:numId="10">
    <w:abstractNumId w:val="4"/>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01192"/>
    <w:rsid w:val="00014958"/>
    <w:rsid w:val="00017E22"/>
    <w:rsid w:val="00021A19"/>
    <w:rsid w:val="00035243"/>
    <w:rsid w:val="00063AE7"/>
    <w:rsid w:val="0007561B"/>
    <w:rsid w:val="000759B6"/>
    <w:rsid w:val="00076974"/>
    <w:rsid w:val="00087117"/>
    <w:rsid w:val="00093456"/>
    <w:rsid w:val="000A430E"/>
    <w:rsid w:val="000A629A"/>
    <w:rsid w:val="000A63C8"/>
    <w:rsid w:val="000A6C35"/>
    <w:rsid w:val="000B3BC6"/>
    <w:rsid w:val="000B4A68"/>
    <w:rsid w:val="000C1544"/>
    <w:rsid w:val="000C577E"/>
    <w:rsid w:val="000D148B"/>
    <w:rsid w:val="000E227E"/>
    <w:rsid w:val="000E3193"/>
    <w:rsid w:val="000F09EB"/>
    <w:rsid w:val="00100ADC"/>
    <w:rsid w:val="00101885"/>
    <w:rsid w:val="001136DE"/>
    <w:rsid w:val="00114267"/>
    <w:rsid w:val="00122D0C"/>
    <w:rsid w:val="00123226"/>
    <w:rsid w:val="00125F20"/>
    <w:rsid w:val="00135396"/>
    <w:rsid w:val="00143BAB"/>
    <w:rsid w:val="00147F6D"/>
    <w:rsid w:val="0015006D"/>
    <w:rsid w:val="00152308"/>
    <w:rsid w:val="00160FEE"/>
    <w:rsid w:val="00162169"/>
    <w:rsid w:val="00172A27"/>
    <w:rsid w:val="00177B74"/>
    <w:rsid w:val="00182A42"/>
    <w:rsid w:val="001930C9"/>
    <w:rsid w:val="001A2335"/>
    <w:rsid w:val="001A673E"/>
    <w:rsid w:val="001B233B"/>
    <w:rsid w:val="001B355C"/>
    <w:rsid w:val="001B4416"/>
    <w:rsid w:val="001B464F"/>
    <w:rsid w:val="001B7F79"/>
    <w:rsid w:val="001C149E"/>
    <w:rsid w:val="001C3096"/>
    <w:rsid w:val="001C457B"/>
    <w:rsid w:val="001D0883"/>
    <w:rsid w:val="001D19C8"/>
    <w:rsid w:val="001F28D0"/>
    <w:rsid w:val="001F7DD5"/>
    <w:rsid w:val="002212E4"/>
    <w:rsid w:val="00221C74"/>
    <w:rsid w:val="002234D1"/>
    <w:rsid w:val="002502DE"/>
    <w:rsid w:val="00250DF9"/>
    <w:rsid w:val="00255C5F"/>
    <w:rsid w:val="00262E70"/>
    <w:rsid w:val="00264FE9"/>
    <w:rsid w:val="00265237"/>
    <w:rsid w:val="00266FE6"/>
    <w:rsid w:val="00286D83"/>
    <w:rsid w:val="00294589"/>
    <w:rsid w:val="00296F40"/>
    <w:rsid w:val="002A5FD4"/>
    <w:rsid w:val="002A7572"/>
    <w:rsid w:val="002C0F24"/>
    <w:rsid w:val="002C3BBA"/>
    <w:rsid w:val="002D109A"/>
    <w:rsid w:val="002D1AAA"/>
    <w:rsid w:val="002D25FD"/>
    <w:rsid w:val="002D4581"/>
    <w:rsid w:val="002E634B"/>
    <w:rsid w:val="002F446C"/>
    <w:rsid w:val="002F6B88"/>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B7D4B"/>
    <w:rsid w:val="003C2F57"/>
    <w:rsid w:val="003F2CE9"/>
    <w:rsid w:val="004020C5"/>
    <w:rsid w:val="00420519"/>
    <w:rsid w:val="0043176C"/>
    <w:rsid w:val="00431AAD"/>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844D0"/>
    <w:rsid w:val="00490210"/>
    <w:rsid w:val="004908D8"/>
    <w:rsid w:val="00495471"/>
    <w:rsid w:val="004B0881"/>
    <w:rsid w:val="004B3A19"/>
    <w:rsid w:val="004C3A41"/>
    <w:rsid w:val="004D1EB4"/>
    <w:rsid w:val="004D2674"/>
    <w:rsid w:val="004D2CAC"/>
    <w:rsid w:val="004D5E99"/>
    <w:rsid w:val="004D7FE4"/>
    <w:rsid w:val="004E2187"/>
    <w:rsid w:val="004E3186"/>
    <w:rsid w:val="004E599F"/>
    <w:rsid w:val="004E59FB"/>
    <w:rsid w:val="004F0BB3"/>
    <w:rsid w:val="004F1824"/>
    <w:rsid w:val="004F367A"/>
    <w:rsid w:val="004F7266"/>
    <w:rsid w:val="00506C06"/>
    <w:rsid w:val="00506F70"/>
    <w:rsid w:val="0051144B"/>
    <w:rsid w:val="00514613"/>
    <w:rsid w:val="00520F21"/>
    <w:rsid w:val="005250A0"/>
    <w:rsid w:val="00530851"/>
    <w:rsid w:val="005311A5"/>
    <w:rsid w:val="005374D9"/>
    <w:rsid w:val="00537699"/>
    <w:rsid w:val="005410FE"/>
    <w:rsid w:val="00541729"/>
    <w:rsid w:val="00542117"/>
    <w:rsid w:val="00544ADB"/>
    <w:rsid w:val="005451C0"/>
    <w:rsid w:val="005549E6"/>
    <w:rsid w:val="00555326"/>
    <w:rsid w:val="00561F27"/>
    <w:rsid w:val="00564C6A"/>
    <w:rsid w:val="005656DA"/>
    <w:rsid w:val="0056634D"/>
    <w:rsid w:val="0057392F"/>
    <w:rsid w:val="00580C8E"/>
    <w:rsid w:val="00590606"/>
    <w:rsid w:val="005A12BF"/>
    <w:rsid w:val="005A5382"/>
    <w:rsid w:val="005C0154"/>
    <w:rsid w:val="005C4626"/>
    <w:rsid w:val="005D0195"/>
    <w:rsid w:val="005D356E"/>
    <w:rsid w:val="005D5EC3"/>
    <w:rsid w:val="005D7384"/>
    <w:rsid w:val="005E369F"/>
    <w:rsid w:val="005F0514"/>
    <w:rsid w:val="00606F0D"/>
    <w:rsid w:val="0060755D"/>
    <w:rsid w:val="00621922"/>
    <w:rsid w:val="00631F12"/>
    <w:rsid w:val="006344D4"/>
    <w:rsid w:val="00636282"/>
    <w:rsid w:val="0064219E"/>
    <w:rsid w:val="00642C82"/>
    <w:rsid w:val="00643A60"/>
    <w:rsid w:val="00645C47"/>
    <w:rsid w:val="006505E8"/>
    <w:rsid w:val="00650AE9"/>
    <w:rsid w:val="00651544"/>
    <w:rsid w:val="00656CBF"/>
    <w:rsid w:val="0067632C"/>
    <w:rsid w:val="00683D50"/>
    <w:rsid w:val="00683DB8"/>
    <w:rsid w:val="00686774"/>
    <w:rsid w:val="006A71E2"/>
    <w:rsid w:val="006C0AD7"/>
    <w:rsid w:val="006C0D2C"/>
    <w:rsid w:val="006C56B1"/>
    <w:rsid w:val="006D1C7F"/>
    <w:rsid w:val="006E1A10"/>
    <w:rsid w:val="006E60DD"/>
    <w:rsid w:val="006F07A8"/>
    <w:rsid w:val="006F3196"/>
    <w:rsid w:val="006F5F71"/>
    <w:rsid w:val="00704A18"/>
    <w:rsid w:val="00706CAD"/>
    <w:rsid w:val="0071702B"/>
    <w:rsid w:val="00727848"/>
    <w:rsid w:val="00734694"/>
    <w:rsid w:val="0074483E"/>
    <w:rsid w:val="00745E5F"/>
    <w:rsid w:val="00754A56"/>
    <w:rsid w:val="007561F1"/>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1338"/>
    <w:rsid w:val="007C2853"/>
    <w:rsid w:val="007C393C"/>
    <w:rsid w:val="007C7177"/>
    <w:rsid w:val="007D3BA1"/>
    <w:rsid w:val="007E157D"/>
    <w:rsid w:val="007E7FA3"/>
    <w:rsid w:val="007F10B8"/>
    <w:rsid w:val="007F123A"/>
    <w:rsid w:val="00804617"/>
    <w:rsid w:val="008069F5"/>
    <w:rsid w:val="0081003B"/>
    <w:rsid w:val="008151B6"/>
    <w:rsid w:val="00820777"/>
    <w:rsid w:val="00827856"/>
    <w:rsid w:val="00833FCF"/>
    <w:rsid w:val="00834292"/>
    <w:rsid w:val="00834C8C"/>
    <w:rsid w:val="00834E46"/>
    <w:rsid w:val="00840153"/>
    <w:rsid w:val="00862764"/>
    <w:rsid w:val="008711A6"/>
    <w:rsid w:val="00875A6C"/>
    <w:rsid w:val="00877F0C"/>
    <w:rsid w:val="008901EE"/>
    <w:rsid w:val="00892A23"/>
    <w:rsid w:val="008A1037"/>
    <w:rsid w:val="008A30DB"/>
    <w:rsid w:val="008A402C"/>
    <w:rsid w:val="008A4D95"/>
    <w:rsid w:val="008B2B82"/>
    <w:rsid w:val="008B4000"/>
    <w:rsid w:val="008B4059"/>
    <w:rsid w:val="008C032A"/>
    <w:rsid w:val="008D1E20"/>
    <w:rsid w:val="008E2B73"/>
    <w:rsid w:val="008E4D90"/>
    <w:rsid w:val="008F46E1"/>
    <w:rsid w:val="00906684"/>
    <w:rsid w:val="0091258E"/>
    <w:rsid w:val="00915112"/>
    <w:rsid w:val="00920AA4"/>
    <w:rsid w:val="00926538"/>
    <w:rsid w:val="00930FF1"/>
    <w:rsid w:val="00932694"/>
    <w:rsid w:val="00937FCC"/>
    <w:rsid w:val="009567EC"/>
    <w:rsid w:val="0096311A"/>
    <w:rsid w:val="009724DD"/>
    <w:rsid w:val="00972CB7"/>
    <w:rsid w:val="00974939"/>
    <w:rsid w:val="009765FF"/>
    <w:rsid w:val="00976EBC"/>
    <w:rsid w:val="00982B8E"/>
    <w:rsid w:val="00984DB1"/>
    <w:rsid w:val="00987C5C"/>
    <w:rsid w:val="0099002E"/>
    <w:rsid w:val="00997DF3"/>
    <w:rsid w:val="009A34C9"/>
    <w:rsid w:val="009A3B4E"/>
    <w:rsid w:val="009A4D70"/>
    <w:rsid w:val="009B601C"/>
    <w:rsid w:val="009B6514"/>
    <w:rsid w:val="009B6811"/>
    <w:rsid w:val="009C1EC6"/>
    <w:rsid w:val="009C38FA"/>
    <w:rsid w:val="009C6F49"/>
    <w:rsid w:val="009D2967"/>
    <w:rsid w:val="009D2D3D"/>
    <w:rsid w:val="009E06C9"/>
    <w:rsid w:val="009F0AF0"/>
    <w:rsid w:val="00A02A81"/>
    <w:rsid w:val="00A10171"/>
    <w:rsid w:val="00A10E90"/>
    <w:rsid w:val="00A16A7C"/>
    <w:rsid w:val="00A17EFF"/>
    <w:rsid w:val="00A25D33"/>
    <w:rsid w:val="00A25DB0"/>
    <w:rsid w:val="00A25FBD"/>
    <w:rsid w:val="00A343C4"/>
    <w:rsid w:val="00A43126"/>
    <w:rsid w:val="00A46423"/>
    <w:rsid w:val="00A64FB2"/>
    <w:rsid w:val="00A65595"/>
    <w:rsid w:val="00A74369"/>
    <w:rsid w:val="00A7470F"/>
    <w:rsid w:val="00A75856"/>
    <w:rsid w:val="00A80992"/>
    <w:rsid w:val="00A85038"/>
    <w:rsid w:val="00A86D75"/>
    <w:rsid w:val="00AA6330"/>
    <w:rsid w:val="00AB36FB"/>
    <w:rsid w:val="00AB792C"/>
    <w:rsid w:val="00AC2570"/>
    <w:rsid w:val="00AC54D9"/>
    <w:rsid w:val="00AD0EE3"/>
    <w:rsid w:val="00AD7F1C"/>
    <w:rsid w:val="00AF1EB4"/>
    <w:rsid w:val="00B01ED5"/>
    <w:rsid w:val="00B1474B"/>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96A99"/>
    <w:rsid w:val="00BA0789"/>
    <w:rsid w:val="00BA11C0"/>
    <w:rsid w:val="00BA75DD"/>
    <w:rsid w:val="00BB5A35"/>
    <w:rsid w:val="00BC39C3"/>
    <w:rsid w:val="00BE09FA"/>
    <w:rsid w:val="00BE75A7"/>
    <w:rsid w:val="00BF0614"/>
    <w:rsid w:val="00C00F9B"/>
    <w:rsid w:val="00C02A04"/>
    <w:rsid w:val="00C10C0F"/>
    <w:rsid w:val="00C12F21"/>
    <w:rsid w:val="00C23A41"/>
    <w:rsid w:val="00C26C29"/>
    <w:rsid w:val="00C3022A"/>
    <w:rsid w:val="00C31583"/>
    <w:rsid w:val="00C376AB"/>
    <w:rsid w:val="00C424A1"/>
    <w:rsid w:val="00C424C9"/>
    <w:rsid w:val="00C46F5D"/>
    <w:rsid w:val="00C72148"/>
    <w:rsid w:val="00C85787"/>
    <w:rsid w:val="00C871C4"/>
    <w:rsid w:val="00C93F19"/>
    <w:rsid w:val="00CA7B36"/>
    <w:rsid w:val="00CB0ED3"/>
    <w:rsid w:val="00CB61CC"/>
    <w:rsid w:val="00CB6CDF"/>
    <w:rsid w:val="00CC0F69"/>
    <w:rsid w:val="00CC3F31"/>
    <w:rsid w:val="00CC4A26"/>
    <w:rsid w:val="00D04461"/>
    <w:rsid w:val="00D1042D"/>
    <w:rsid w:val="00D20D7E"/>
    <w:rsid w:val="00D33390"/>
    <w:rsid w:val="00D33AD7"/>
    <w:rsid w:val="00D43277"/>
    <w:rsid w:val="00D44125"/>
    <w:rsid w:val="00D52617"/>
    <w:rsid w:val="00D57478"/>
    <w:rsid w:val="00D62932"/>
    <w:rsid w:val="00D65618"/>
    <w:rsid w:val="00D735B1"/>
    <w:rsid w:val="00D73883"/>
    <w:rsid w:val="00D77DC0"/>
    <w:rsid w:val="00D81B4E"/>
    <w:rsid w:val="00D82864"/>
    <w:rsid w:val="00D86B26"/>
    <w:rsid w:val="00D95280"/>
    <w:rsid w:val="00D97434"/>
    <w:rsid w:val="00DB12F0"/>
    <w:rsid w:val="00DB3C3C"/>
    <w:rsid w:val="00DC0037"/>
    <w:rsid w:val="00DD3904"/>
    <w:rsid w:val="00DD3923"/>
    <w:rsid w:val="00DD584F"/>
    <w:rsid w:val="00DE2E07"/>
    <w:rsid w:val="00DE33FA"/>
    <w:rsid w:val="00DF48A9"/>
    <w:rsid w:val="00DF4C4C"/>
    <w:rsid w:val="00E00B22"/>
    <w:rsid w:val="00E02A60"/>
    <w:rsid w:val="00E11A29"/>
    <w:rsid w:val="00E24362"/>
    <w:rsid w:val="00E24CBF"/>
    <w:rsid w:val="00E31C78"/>
    <w:rsid w:val="00E32360"/>
    <w:rsid w:val="00E35584"/>
    <w:rsid w:val="00E361D7"/>
    <w:rsid w:val="00E442A9"/>
    <w:rsid w:val="00E44910"/>
    <w:rsid w:val="00E616C7"/>
    <w:rsid w:val="00E622B8"/>
    <w:rsid w:val="00E63105"/>
    <w:rsid w:val="00E73BE0"/>
    <w:rsid w:val="00E93231"/>
    <w:rsid w:val="00EA1517"/>
    <w:rsid w:val="00EA4AD0"/>
    <w:rsid w:val="00EA568D"/>
    <w:rsid w:val="00EA683A"/>
    <w:rsid w:val="00EB1D8B"/>
    <w:rsid w:val="00EB4CE1"/>
    <w:rsid w:val="00EB6171"/>
    <w:rsid w:val="00EC28CE"/>
    <w:rsid w:val="00ED3CAC"/>
    <w:rsid w:val="00ED40B2"/>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5089F"/>
    <w:rsid w:val="00F51681"/>
    <w:rsid w:val="00F6074A"/>
    <w:rsid w:val="00F61E16"/>
    <w:rsid w:val="00F62791"/>
    <w:rsid w:val="00F6289C"/>
    <w:rsid w:val="00F7648C"/>
    <w:rsid w:val="00F82837"/>
    <w:rsid w:val="00F9010D"/>
    <w:rsid w:val="00F946CF"/>
    <w:rsid w:val="00FA56B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32B68CE"/>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7A6BF8"/>
    <w:rsid w:val="10821871"/>
    <w:rsid w:val="10C74A23"/>
    <w:rsid w:val="10CC1DBF"/>
    <w:rsid w:val="11211A6D"/>
    <w:rsid w:val="11386251"/>
    <w:rsid w:val="114802A7"/>
    <w:rsid w:val="115D2A58"/>
    <w:rsid w:val="11DF34F2"/>
    <w:rsid w:val="11FC2705"/>
    <w:rsid w:val="124E24A7"/>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C525B3"/>
    <w:rsid w:val="20D017CD"/>
    <w:rsid w:val="21204134"/>
    <w:rsid w:val="213B3D5A"/>
    <w:rsid w:val="215C2065"/>
    <w:rsid w:val="2178792D"/>
    <w:rsid w:val="21882D76"/>
    <w:rsid w:val="21A7293F"/>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695889"/>
    <w:rsid w:val="25E3191A"/>
    <w:rsid w:val="272A36B9"/>
    <w:rsid w:val="27574CC5"/>
    <w:rsid w:val="27A45BFA"/>
    <w:rsid w:val="29477193"/>
    <w:rsid w:val="298E65D5"/>
    <w:rsid w:val="29E737F5"/>
    <w:rsid w:val="2A10603F"/>
    <w:rsid w:val="2AF16AE6"/>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660F07"/>
    <w:rsid w:val="37813FA2"/>
    <w:rsid w:val="37CC3856"/>
    <w:rsid w:val="38A67E7F"/>
    <w:rsid w:val="38B41477"/>
    <w:rsid w:val="38E24814"/>
    <w:rsid w:val="38F35773"/>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A3470B"/>
    <w:rsid w:val="3DC1785A"/>
    <w:rsid w:val="3DF029F0"/>
    <w:rsid w:val="3E18216E"/>
    <w:rsid w:val="3E8D7FAC"/>
    <w:rsid w:val="3EAA332F"/>
    <w:rsid w:val="3F557354"/>
    <w:rsid w:val="3FF35B5D"/>
    <w:rsid w:val="400E6C2F"/>
    <w:rsid w:val="405F451F"/>
    <w:rsid w:val="408D4D2E"/>
    <w:rsid w:val="410B54F1"/>
    <w:rsid w:val="41596324"/>
    <w:rsid w:val="416D454C"/>
    <w:rsid w:val="417E0DD4"/>
    <w:rsid w:val="41AE29E7"/>
    <w:rsid w:val="42322034"/>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752BE3"/>
    <w:rsid w:val="499A7B71"/>
    <w:rsid w:val="49BC7386"/>
    <w:rsid w:val="49DF19D1"/>
    <w:rsid w:val="4A110963"/>
    <w:rsid w:val="4A262C03"/>
    <w:rsid w:val="4A5D70EB"/>
    <w:rsid w:val="4AB045A7"/>
    <w:rsid w:val="4AC34F6C"/>
    <w:rsid w:val="4AF155C9"/>
    <w:rsid w:val="4B110071"/>
    <w:rsid w:val="4B553C62"/>
    <w:rsid w:val="4BE913F0"/>
    <w:rsid w:val="4C41382B"/>
    <w:rsid w:val="4C4232FC"/>
    <w:rsid w:val="4C5174C5"/>
    <w:rsid w:val="4CE17CD6"/>
    <w:rsid w:val="4D55021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B13D07"/>
    <w:rsid w:val="50BD6861"/>
    <w:rsid w:val="51294459"/>
    <w:rsid w:val="520D4C4F"/>
    <w:rsid w:val="529C0525"/>
    <w:rsid w:val="52A00FEB"/>
    <w:rsid w:val="52AF1A71"/>
    <w:rsid w:val="531D3C87"/>
    <w:rsid w:val="53A75E29"/>
    <w:rsid w:val="53F420B3"/>
    <w:rsid w:val="54002F60"/>
    <w:rsid w:val="540E00C3"/>
    <w:rsid w:val="54615C1F"/>
    <w:rsid w:val="54B167F8"/>
    <w:rsid w:val="54CC5929"/>
    <w:rsid w:val="54D66B86"/>
    <w:rsid w:val="54F91B6A"/>
    <w:rsid w:val="554161C7"/>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4BF1D33"/>
    <w:rsid w:val="65AB285B"/>
    <w:rsid w:val="65AD7EBD"/>
    <w:rsid w:val="65B45F4F"/>
    <w:rsid w:val="65D442F6"/>
    <w:rsid w:val="65EE1B68"/>
    <w:rsid w:val="664A47B6"/>
    <w:rsid w:val="66701D77"/>
    <w:rsid w:val="669A4C09"/>
    <w:rsid w:val="66D67A5D"/>
    <w:rsid w:val="66EE6546"/>
    <w:rsid w:val="67074E48"/>
    <w:rsid w:val="67246F89"/>
    <w:rsid w:val="67630127"/>
    <w:rsid w:val="67837630"/>
    <w:rsid w:val="683D3BEC"/>
    <w:rsid w:val="68417139"/>
    <w:rsid w:val="684347AC"/>
    <w:rsid w:val="68B250DF"/>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8D1ED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C961F9"/>
    <w:rsid w:val="76FC583F"/>
    <w:rsid w:val="77373EC1"/>
    <w:rsid w:val="776C01B3"/>
    <w:rsid w:val="77C030C2"/>
    <w:rsid w:val="77EC59C1"/>
    <w:rsid w:val="781E7E5B"/>
    <w:rsid w:val="78872C77"/>
    <w:rsid w:val="78B64E2C"/>
    <w:rsid w:val="78DF01E6"/>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qFormat/>
    <w:uiPriority w:val="0"/>
    <w:pPr>
      <w:keepNext/>
      <w:topLinePunct/>
      <w:ind w:left="360"/>
      <w:outlineLvl w:val="0"/>
    </w:pPr>
    <w:rPr>
      <w:sz w:val="28"/>
    </w:rPr>
  </w:style>
  <w:style w:type="paragraph" w:styleId="3">
    <w:name w:val="heading 2"/>
    <w:basedOn w:val="1"/>
    <w:next w:val="4"/>
    <w:link w:val="7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5">
    <w:name w:val="heading 3"/>
    <w:basedOn w:val="1"/>
    <w:next w:val="1"/>
    <w:link w:val="71"/>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6">
    <w:name w:val="heading 4"/>
    <w:basedOn w:val="1"/>
    <w:next w:val="1"/>
    <w:link w:val="72"/>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7">
    <w:name w:val="heading 5"/>
    <w:basedOn w:val="1"/>
    <w:next w:val="1"/>
    <w:link w:val="73"/>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8">
    <w:name w:val="heading 6"/>
    <w:basedOn w:val="1"/>
    <w:next w:val="1"/>
    <w:link w:val="74"/>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9">
    <w:name w:val="heading 7"/>
    <w:basedOn w:val="1"/>
    <w:next w:val="1"/>
    <w:link w:val="75"/>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10">
    <w:name w:val="heading 8"/>
    <w:basedOn w:val="1"/>
    <w:next w:val="1"/>
    <w:link w:val="76"/>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7"/>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61">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customStyle="1" w:styleId="4">
    <w:name w:val="01 正文"/>
    <w:basedOn w:val="1"/>
    <w:qFormat/>
    <w:uiPriority w:val="0"/>
  </w:style>
  <w:style w:type="paragraph" w:styleId="12">
    <w:name w:val="List 3"/>
    <w:basedOn w:val="1"/>
    <w:qFormat/>
    <w:uiPriority w:val="0"/>
    <w:pPr>
      <w:ind w:left="1260" w:hanging="420"/>
    </w:pPr>
    <w:rPr>
      <w:kern w:val="0"/>
      <w:position w:val="-6"/>
      <w:sz w:val="24"/>
    </w:rPr>
  </w:style>
  <w:style w:type="paragraph" w:styleId="13">
    <w:name w:val="toc 7"/>
    <w:basedOn w:val="1"/>
    <w:next w:val="1"/>
    <w:qFormat/>
    <w:uiPriority w:val="0"/>
    <w:pPr>
      <w:ind w:left="2520" w:leftChars="1200"/>
    </w:pPr>
    <w:rPr>
      <w:szCs w:val="24"/>
    </w:rPr>
  </w:style>
  <w:style w:type="paragraph" w:styleId="14">
    <w:name w:val="List Number 2"/>
    <w:basedOn w:val="15"/>
    <w:qFormat/>
    <w:uiPriority w:val="0"/>
    <w:pPr>
      <w:ind w:left="720" w:hanging="720"/>
    </w:pPr>
  </w:style>
  <w:style w:type="paragraph" w:styleId="15">
    <w:name w:val="List Number"/>
    <w:basedOn w:val="16"/>
    <w:qFormat/>
    <w:uiPriority w:val="0"/>
    <w:pPr>
      <w:spacing w:after="220" w:line="220" w:lineRule="atLeast"/>
      <w:ind w:left="1800" w:right="720" w:hanging="360"/>
    </w:pPr>
    <w:rPr>
      <w:spacing w:val="-4"/>
    </w:rPr>
  </w:style>
  <w:style w:type="paragraph" w:styleId="16">
    <w:name w:val="List"/>
    <w:basedOn w:val="1"/>
    <w:qFormat/>
    <w:uiPriority w:val="0"/>
    <w:pPr>
      <w:ind w:left="420" w:hanging="420"/>
    </w:pPr>
    <w:rPr>
      <w:szCs w:val="24"/>
    </w:rPr>
  </w:style>
  <w:style w:type="paragraph" w:styleId="17">
    <w:name w:val="List Bullet 4"/>
    <w:basedOn w:val="1"/>
    <w:qFormat/>
    <w:uiPriority w:val="0"/>
    <w:pPr>
      <w:tabs>
        <w:tab w:val="left" w:pos="1620"/>
      </w:tabs>
      <w:ind w:left="420" w:hanging="420"/>
    </w:pPr>
    <w:rPr>
      <w:szCs w:val="24"/>
    </w:rPr>
  </w:style>
  <w:style w:type="paragraph" w:styleId="18">
    <w:name w:val="Normal Indent"/>
    <w:basedOn w:val="1"/>
    <w:link w:val="84"/>
    <w:qFormat/>
    <w:uiPriority w:val="0"/>
    <w:pPr>
      <w:adjustRightInd w:val="0"/>
      <w:spacing w:line="312" w:lineRule="atLeast"/>
      <w:ind w:firstLine="420"/>
      <w:textAlignment w:val="baseline"/>
    </w:pPr>
    <w:rPr>
      <w:rFonts w:ascii="@楷体" w:hAnsi="Symbol" w:eastAsia="楷体"/>
      <w:kern w:val="28"/>
      <w:sz w:val="15"/>
    </w:rPr>
  </w:style>
  <w:style w:type="paragraph" w:styleId="19">
    <w:name w:val="caption"/>
    <w:basedOn w:val="1"/>
    <w:next w:val="1"/>
    <w:qFormat/>
    <w:uiPriority w:val="0"/>
    <w:rPr>
      <w:rFonts w:ascii="Arial" w:hAnsi="Arial" w:eastAsia="黑体" w:cs="Arial"/>
      <w:kern w:val="0"/>
      <w:position w:val="-6"/>
      <w:sz w:val="20"/>
    </w:rPr>
  </w:style>
  <w:style w:type="paragraph" w:styleId="20">
    <w:name w:val="List Bullet"/>
    <w:basedOn w:val="1"/>
    <w:semiHidden/>
    <w:unhideWhenUsed/>
    <w:uiPriority w:val="99"/>
    <w:pPr>
      <w:numPr>
        <w:ilvl w:val="0"/>
        <w:numId w:val="2"/>
      </w:numPr>
    </w:pPr>
  </w:style>
  <w:style w:type="paragraph" w:styleId="21">
    <w:name w:val="Document Map"/>
    <w:basedOn w:val="1"/>
    <w:link w:val="92"/>
    <w:qFormat/>
    <w:uiPriority w:val="0"/>
    <w:rPr>
      <w:rFonts w:ascii="宋体"/>
      <w:sz w:val="18"/>
      <w:szCs w:val="18"/>
    </w:rPr>
  </w:style>
  <w:style w:type="paragraph" w:styleId="22">
    <w:name w:val="toa heading"/>
    <w:basedOn w:val="1"/>
    <w:next w:val="1"/>
    <w:qFormat/>
    <w:uiPriority w:val="0"/>
    <w:pPr>
      <w:adjustRightInd w:val="0"/>
      <w:spacing w:before="120" w:line="398" w:lineRule="atLeast"/>
      <w:textAlignment w:val="baseline"/>
    </w:pPr>
    <w:rPr>
      <w:rFonts w:ascii="Arial" w:hAnsi="Arial"/>
      <w:kern w:val="0"/>
      <w:sz w:val="24"/>
    </w:rPr>
  </w:style>
  <w:style w:type="paragraph" w:styleId="23">
    <w:name w:val="annotation text"/>
    <w:basedOn w:val="1"/>
    <w:link w:val="94"/>
    <w:qFormat/>
    <w:uiPriority w:val="0"/>
    <w:pPr>
      <w:jc w:val="left"/>
    </w:pPr>
  </w:style>
  <w:style w:type="paragraph" w:styleId="24">
    <w:name w:val="Body Text 3"/>
    <w:basedOn w:val="1"/>
    <w:link w:val="205"/>
    <w:qFormat/>
    <w:uiPriority w:val="0"/>
    <w:pPr>
      <w:spacing w:after="120"/>
    </w:pPr>
    <w:rPr>
      <w:sz w:val="16"/>
      <w:szCs w:val="16"/>
    </w:rPr>
  </w:style>
  <w:style w:type="paragraph" w:styleId="25">
    <w:name w:val="List Bullet 3"/>
    <w:basedOn w:val="1"/>
    <w:qFormat/>
    <w:uiPriority w:val="0"/>
    <w:pPr>
      <w:tabs>
        <w:tab w:val="left" w:pos="1200"/>
      </w:tabs>
      <w:ind w:left="420" w:hanging="420"/>
    </w:pPr>
    <w:rPr>
      <w:szCs w:val="24"/>
    </w:rPr>
  </w:style>
  <w:style w:type="paragraph" w:styleId="26">
    <w:name w:val="Body Text"/>
    <w:basedOn w:val="1"/>
    <w:link w:val="87"/>
    <w:qFormat/>
    <w:uiPriority w:val="0"/>
    <w:rPr>
      <w:rFonts w:ascii="宋体" w:hAnsi="宋体"/>
      <w:color w:val="0000FF"/>
      <w:sz w:val="24"/>
      <w:szCs w:val="24"/>
    </w:rPr>
  </w:style>
  <w:style w:type="paragraph" w:styleId="27">
    <w:name w:val="Body Text Indent"/>
    <w:basedOn w:val="1"/>
    <w:link w:val="95"/>
    <w:qFormat/>
    <w:uiPriority w:val="0"/>
    <w:pPr>
      <w:spacing w:after="120"/>
      <w:ind w:left="420" w:leftChars="200"/>
    </w:pPr>
    <w:rPr>
      <w:szCs w:val="24"/>
    </w:rPr>
  </w:style>
  <w:style w:type="paragraph" w:styleId="28">
    <w:name w:val="List Bullet 2"/>
    <w:basedOn w:val="1"/>
    <w:qFormat/>
    <w:uiPriority w:val="0"/>
    <w:pPr>
      <w:tabs>
        <w:tab w:val="left" w:pos="780"/>
      </w:tabs>
      <w:ind w:left="420" w:hanging="420"/>
    </w:pPr>
    <w:rPr>
      <w:szCs w:val="24"/>
    </w:rPr>
  </w:style>
  <w:style w:type="paragraph" w:styleId="29">
    <w:name w:val="toc 5"/>
    <w:basedOn w:val="1"/>
    <w:next w:val="1"/>
    <w:qFormat/>
    <w:uiPriority w:val="0"/>
    <w:pPr>
      <w:ind w:left="1680" w:leftChars="800"/>
    </w:pPr>
    <w:rPr>
      <w:szCs w:val="24"/>
    </w:rPr>
  </w:style>
  <w:style w:type="paragraph" w:styleId="30">
    <w:name w:val="toc 3"/>
    <w:basedOn w:val="1"/>
    <w:next w:val="1"/>
    <w:qFormat/>
    <w:uiPriority w:val="0"/>
    <w:pPr>
      <w:ind w:left="840" w:leftChars="400"/>
    </w:pPr>
    <w:rPr>
      <w:szCs w:val="24"/>
    </w:rPr>
  </w:style>
  <w:style w:type="paragraph" w:styleId="31">
    <w:name w:val="Plain Text"/>
    <w:basedOn w:val="1"/>
    <w:link w:val="78"/>
    <w:unhideWhenUsed/>
    <w:qFormat/>
    <w:uiPriority w:val="0"/>
    <w:rPr>
      <w:rFonts w:ascii="宋体" w:hAnsi="Courier New"/>
    </w:rPr>
  </w:style>
  <w:style w:type="paragraph" w:styleId="32">
    <w:name w:val="toc 8"/>
    <w:basedOn w:val="1"/>
    <w:next w:val="1"/>
    <w:qFormat/>
    <w:uiPriority w:val="0"/>
    <w:pPr>
      <w:ind w:left="2940" w:leftChars="1400"/>
    </w:pPr>
    <w:rPr>
      <w:szCs w:val="24"/>
    </w:rPr>
  </w:style>
  <w:style w:type="paragraph" w:styleId="33">
    <w:name w:val="Date"/>
    <w:basedOn w:val="1"/>
    <w:next w:val="1"/>
    <w:link w:val="97"/>
    <w:qFormat/>
    <w:uiPriority w:val="0"/>
  </w:style>
  <w:style w:type="paragraph" w:styleId="34">
    <w:name w:val="Body Text Indent 2"/>
    <w:basedOn w:val="1"/>
    <w:link w:val="98"/>
    <w:qFormat/>
    <w:uiPriority w:val="0"/>
    <w:pPr>
      <w:ind w:firstLine="480" w:firstLineChars="200"/>
    </w:pPr>
    <w:rPr>
      <w:rFonts w:ascii="宋体" w:hAnsi="宋体"/>
      <w:color w:val="FF0000"/>
      <w:sz w:val="24"/>
      <w:szCs w:val="24"/>
    </w:rPr>
  </w:style>
  <w:style w:type="paragraph" w:styleId="35">
    <w:name w:val="endnote text"/>
    <w:basedOn w:val="1"/>
    <w:link w:val="241"/>
    <w:qFormat/>
    <w:uiPriority w:val="0"/>
    <w:pPr>
      <w:adjustRightInd w:val="0"/>
      <w:spacing w:line="360" w:lineRule="atLeast"/>
      <w:jc w:val="left"/>
      <w:textAlignment w:val="baseline"/>
    </w:pPr>
    <w:rPr>
      <w:rFonts w:ascii="宋体"/>
      <w:kern w:val="0"/>
      <w:position w:val="-6"/>
      <w:sz w:val="24"/>
    </w:rPr>
  </w:style>
  <w:style w:type="paragraph" w:styleId="36">
    <w:name w:val="Balloon Text"/>
    <w:basedOn w:val="1"/>
    <w:link w:val="83"/>
    <w:unhideWhenUsed/>
    <w:qFormat/>
    <w:uiPriority w:val="0"/>
    <w:rPr>
      <w:sz w:val="18"/>
      <w:szCs w:val="18"/>
    </w:rPr>
  </w:style>
  <w:style w:type="paragraph" w:styleId="37">
    <w:name w:val="footer"/>
    <w:basedOn w:val="1"/>
    <w:link w:val="79"/>
    <w:qFormat/>
    <w:uiPriority w:val="99"/>
    <w:pPr>
      <w:tabs>
        <w:tab w:val="center" w:pos="4153"/>
        <w:tab w:val="right" w:pos="8306"/>
      </w:tabs>
      <w:snapToGrid w:val="0"/>
      <w:jc w:val="left"/>
    </w:pPr>
    <w:rPr>
      <w:sz w:val="18"/>
    </w:rPr>
  </w:style>
  <w:style w:type="paragraph" w:styleId="38">
    <w:name w:val="header"/>
    <w:basedOn w:val="1"/>
    <w:link w:val="8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9">
    <w:name w:val="toc 1"/>
    <w:basedOn w:val="1"/>
    <w:next w:val="1"/>
    <w:qFormat/>
    <w:uiPriority w:val="0"/>
    <w:rPr>
      <w:szCs w:val="24"/>
    </w:rPr>
  </w:style>
  <w:style w:type="paragraph" w:styleId="40">
    <w:name w:val="toc 4"/>
    <w:basedOn w:val="1"/>
    <w:next w:val="1"/>
    <w:qFormat/>
    <w:uiPriority w:val="0"/>
    <w:pPr>
      <w:ind w:left="1260" w:leftChars="600"/>
    </w:pPr>
    <w:rPr>
      <w:szCs w:val="24"/>
    </w:rPr>
  </w:style>
  <w:style w:type="paragraph" w:styleId="41">
    <w:name w:val="Subtitle"/>
    <w:basedOn w:val="1"/>
    <w:link w:val="129"/>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42">
    <w:name w:val="List Number 5"/>
    <w:basedOn w:val="1"/>
    <w:semiHidden/>
    <w:unhideWhenUsed/>
    <w:qFormat/>
    <w:uiPriority w:val="99"/>
    <w:pPr>
      <w:numPr>
        <w:ilvl w:val="0"/>
        <w:numId w:val="3"/>
      </w:numPr>
    </w:pPr>
  </w:style>
  <w:style w:type="paragraph" w:styleId="43">
    <w:name w:val="toc 6"/>
    <w:basedOn w:val="1"/>
    <w:next w:val="1"/>
    <w:qFormat/>
    <w:uiPriority w:val="0"/>
    <w:pPr>
      <w:ind w:left="2100" w:leftChars="1000"/>
    </w:pPr>
    <w:rPr>
      <w:szCs w:val="24"/>
    </w:rPr>
  </w:style>
  <w:style w:type="paragraph" w:styleId="44">
    <w:name w:val="List 5"/>
    <w:basedOn w:val="1"/>
    <w:qFormat/>
    <w:uiPriority w:val="0"/>
    <w:pPr>
      <w:ind w:left="2100" w:hanging="420"/>
    </w:pPr>
    <w:rPr>
      <w:kern w:val="0"/>
      <w:position w:val="-6"/>
      <w:sz w:val="24"/>
    </w:rPr>
  </w:style>
  <w:style w:type="paragraph" w:styleId="45">
    <w:name w:val="Body Text Indent 3"/>
    <w:basedOn w:val="1"/>
    <w:link w:val="100"/>
    <w:qFormat/>
    <w:uiPriority w:val="0"/>
    <w:pPr>
      <w:spacing w:line="360" w:lineRule="atLeast"/>
      <w:ind w:left="420" w:firstLine="480"/>
    </w:pPr>
    <w:rPr>
      <w:rFonts w:ascii="宋体"/>
      <w:sz w:val="24"/>
      <w:szCs w:val="24"/>
    </w:rPr>
  </w:style>
  <w:style w:type="paragraph" w:styleId="46">
    <w:name w:val="toc 2"/>
    <w:basedOn w:val="1"/>
    <w:next w:val="1"/>
    <w:qFormat/>
    <w:uiPriority w:val="0"/>
    <w:pPr>
      <w:ind w:left="420" w:leftChars="200"/>
    </w:pPr>
    <w:rPr>
      <w:szCs w:val="24"/>
    </w:rPr>
  </w:style>
  <w:style w:type="paragraph" w:styleId="47">
    <w:name w:val="toc 9"/>
    <w:basedOn w:val="1"/>
    <w:next w:val="1"/>
    <w:qFormat/>
    <w:uiPriority w:val="0"/>
    <w:pPr>
      <w:ind w:left="3360" w:leftChars="1600"/>
    </w:pPr>
    <w:rPr>
      <w:szCs w:val="24"/>
    </w:rPr>
  </w:style>
  <w:style w:type="paragraph" w:styleId="48">
    <w:name w:val="Body Text 2"/>
    <w:basedOn w:val="1"/>
    <w:link w:val="101"/>
    <w:qFormat/>
    <w:uiPriority w:val="0"/>
    <w:rPr>
      <w:rFonts w:ascii="宋体"/>
      <w:b/>
      <w:bCs/>
      <w:color w:val="0000FF"/>
      <w:sz w:val="30"/>
      <w:szCs w:val="24"/>
    </w:rPr>
  </w:style>
  <w:style w:type="paragraph" w:styleId="49">
    <w:name w:val="List 4"/>
    <w:basedOn w:val="1"/>
    <w:qFormat/>
    <w:uiPriority w:val="0"/>
    <w:pPr>
      <w:ind w:left="1680" w:hanging="420"/>
    </w:pPr>
    <w:rPr>
      <w:kern w:val="0"/>
      <w:position w:val="-6"/>
      <w:sz w:val="24"/>
    </w:rPr>
  </w:style>
  <w:style w:type="paragraph" w:styleId="50">
    <w:name w:val="Message Header"/>
    <w:basedOn w:val="26"/>
    <w:link w:val="206"/>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51">
    <w:name w:val="HTML Preformatted"/>
    <w:basedOn w:val="1"/>
    <w:link w:val="10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2">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3">
    <w:name w:val="index 1"/>
    <w:basedOn w:val="1"/>
    <w:next w:val="1"/>
    <w:qFormat/>
    <w:uiPriority w:val="0"/>
    <w:pPr>
      <w:adjustRightInd w:val="0"/>
      <w:spacing w:line="360" w:lineRule="atLeast"/>
      <w:jc w:val="left"/>
      <w:textAlignment w:val="baseline"/>
    </w:pPr>
    <w:rPr>
      <w:kern w:val="0"/>
      <w:sz w:val="24"/>
    </w:rPr>
  </w:style>
  <w:style w:type="paragraph" w:styleId="54">
    <w:name w:val="index 2"/>
    <w:basedOn w:val="1"/>
    <w:next w:val="1"/>
    <w:qFormat/>
    <w:uiPriority w:val="0"/>
    <w:pPr>
      <w:ind w:left="200" w:leftChars="200"/>
    </w:pPr>
    <w:rPr>
      <w:kern w:val="0"/>
      <w:position w:val="-6"/>
      <w:sz w:val="24"/>
    </w:rPr>
  </w:style>
  <w:style w:type="paragraph" w:styleId="55">
    <w:name w:val="Title"/>
    <w:basedOn w:val="1"/>
    <w:next w:val="1"/>
    <w:link w:val="81"/>
    <w:qFormat/>
    <w:uiPriority w:val="0"/>
    <w:pPr>
      <w:adjustRightInd w:val="0"/>
      <w:snapToGrid w:val="0"/>
      <w:spacing w:before="120" w:after="120" w:line="520" w:lineRule="exact"/>
      <w:jc w:val="center"/>
      <w:outlineLvl w:val="0"/>
    </w:pPr>
    <w:rPr>
      <w:rFonts w:ascii="黑体" w:eastAsia="黑体"/>
      <w:snapToGrid w:val="0"/>
      <w:sz w:val="28"/>
    </w:rPr>
  </w:style>
  <w:style w:type="paragraph" w:styleId="56">
    <w:name w:val="annotation subject"/>
    <w:basedOn w:val="23"/>
    <w:next w:val="23"/>
    <w:link w:val="104"/>
    <w:semiHidden/>
    <w:qFormat/>
    <w:uiPriority w:val="0"/>
    <w:rPr>
      <w:b/>
      <w:bCs/>
      <w:szCs w:val="24"/>
    </w:rPr>
  </w:style>
  <w:style w:type="paragraph" w:styleId="57">
    <w:name w:val="Body Text First Indent"/>
    <w:basedOn w:val="26"/>
    <w:link w:val="147"/>
    <w:qFormat/>
    <w:uiPriority w:val="0"/>
    <w:pPr>
      <w:spacing w:after="120"/>
      <w:ind w:firstLine="420" w:firstLineChars="100"/>
    </w:pPr>
    <w:rPr>
      <w:rFonts w:hAnsi="Times New Roman"/>
      <w:color w:val="auto"/>
      <w:szCs w:val="20"/>
    </w:rPr>
  </w:style>
  <w:style w:type="paragraph" w:styleId="58">
    <w:name w:val="Body Text First Indent 2"/>
    <w:basedOn w:val="27"/>
    <w:link w:val="242"/>
    <w:qFormat/>
    <w:uiPriority w:val="0"/>
    <w:pPr>
      <w:adjustRightInd w:val="0"/>
      <w:spacing w:after="0" w:line="360" w:lineRule="auto"/>
      <w:ind w:left="0" w:leftChars="0" w:firstLine="420" w:firstLineChars="200"/>
      <w:textAlignment w:val="baseline"/>
    </w:pPr>
    <w:rPr>
      <w:kern w:val="0"/>
      <w:position w:val="-6"/>
      <w:sz w:val="24"/>
      <w:szCs w:val="20"/>
    </w:rPr>
  </w:style>
  <w:style w:type="table" w:styleId="60">
    <w:name w:val="Table Grid"/>
    <w:basedOn w:val="59"/>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bCs/>
    </w:rPr>
  </w:style>
  <w:style w:type="character" w:styleId="63">
    <w:name w:val="page number"/>
    <w:basedOn w:val="61"/>
    <w:unhideWhenUsed/>
    <w:qFormat/>
    <w:uiPriority w:val="0"/>
    <w:rPr>
      <w:kern w:val="2"/>
      <w:sz w:val="21"/>
      <w:szCs w:val="21"/>
    </w:rPr>
  </w:style>
  <w:style w:type="character" w:styleId="64">
    <w:name w:val="FollowedHyperlink"/>
    <w:qFormat/>
    <w:uiPriority w:val="0"/>
    <w:rPr>
      <w:color w:val="800080"/>
      <w:u w:val="single"/>
    </w:rPr>
  </w:style>
  <w:style w:type="character" w:styleId="65">
    <w:name w:val="Hyperlink"/>
    <w:basedOn w:val="61"/>
    <w:unhideWhenUsed/>
    <w:qFormat/>
    <w:uiPriority w:val="0"/>
    <w:rPr>
      <w:color w:val="0563C1" w:themeColor="hyperlink"/>
      <w:u w:val="single"/>
      <w14:textFill>
        <w14:solidFill>
          <w14:schemeClr w14:val="hlink"/>
        </w14:solidFill>
      </w14:textFill>
    </w:rPr>
  </w:style>
  <w:style w:type="character" w:styleId="66">
    <w:name w:val="annotation reference"/>
    <w:qFormat/>
    <w:uiPriority w:val="0"/>
    <w:rPr>
      <w:sz w:val="21"/>
      <w:szCs w:val="21"/>
    </w:rPr>
  </w:style>
  <w:style w:type="paragraph" w:customStyle="1" w:styleId="67">
    <w:name w:val="正文(首行缩进)"/>
    <w:basedOn w:val="1"/>
    <w:qFormat/>
    <w:uiPriority w:val="0"/>
    <w:pPr>
      <w:spacing w:line="360" w:lineRule="auto"/>
      <w:ind w:firstLine="510"/>
    </w:pPr>
    <w:rPr>
      <w:rFonts w:ascii="宋体" w:hAnsi="宋体"/>
      <w:snapToGrid/>
      <w:kern w:val="0"/>
      <w:sz w:val="24"/>
      <w:szCs w:val="24"/>
    </w:rPr>
  </w:style>
  <w:style w:type="paragraph" w:customStyle="1" w:styleId="68">
    <w:name w:val="1 Char Char Char1 Char"/>
    <w:basedOn w:val="1"/>
    <w:qFormat/>
    <w:uiPriority w:val="0"/>
    <w:rPr>
      <w:rFonts w:ascii="Tahoma" w:hAnsi="Tahoma"/>
      <w:sz w:val="24"/>
      <w:szCs w:val="20"/>
    </w:rPr>
  </w:style>
  <w:style w:type="character" w:customStyle="1" w:styleId="69">
    <w:name w:val="标题 1 字符"/>
    <w:basedOn w:val="61"/>
    <w:link w:val="2"/>
    <w:qFormat/>
    <w:uiPriority w:val="0"/>
    <w:rPr>
      <w:kern w:val="2"/>
      <w:sz w:val="28"/>
    </w:rPr>
  </w:style>
  <w:style w:type="character" w:customStyle="1" w:styleId="70">
    <w:name w:val="标题 2 字符"/>
    <w:basedOn w:val="61"/>
    <w:link w:val="3"/>
    <w:qFormat/>
    <w:uiPriority w:val="0"/>
    <w:rPr>
      <w:rFonts w:ascii="Arial" w:hAnsi="Arial" w:eastAsia="黑体"/>
      <w:b/>
      <w:sz w:val="32"/>
    </w:rPr>
  </w:style>
  <w:style w:type="character" w:customStyle="1" w:styleId="71">
    <w:name w:val="标题 3 字符"/>
    <w:basedOn w:val="61"/>
    <w:link w:val="5"/>
    <w:qFormat/>
    <w:uiPriority w:val="0"/>
    <w:rPr>
      <w:b/>
      <w:sz w:val="32"/>
    </w:rPr>
  </w:style>
  <w:style w:type="character" w:customStyle="1" w:styleId="72">
    <w:name w:val="标题 4 字符"/>
    <w:basedOn w:val="61"/>
    <w:link w:val="6"/>
    <w:qFormat/>
    <w:uiPriority w:val="0"/>
    <w:rPr>
      <w:rFonts w:ascii="Arial" w:hAnsi="Arial" w:eastAsia="黑体"/>
      <w:b/>
      <w:sz w:val="28"/>
    </w:rPr>
  </w:style>
  <w:style w:type="character" w:customStyle="1" w:styleId="73">
    <w:name w:val="标题 5 字符"/>
    <w:basedOn w:val="61"/>
    <w:link w:val="7"/>
    <w:qFormat/>
    <w:uiPriority w:val="0"/>
    <w:rPr>
      <w:b/>
      <w:sz w:val="28"/>
    </w:rPr>
  </w:style>
  <w:style w:type="character" w:customStyle="1" w:styleId="74">
    <w:name w:val="标题 6 字符"/>
    <w:basedOn w:val="61"/>
    <w:link w:val="8"/>
    <w:qFormat/>
    <w:uiPriority w:val="0"/>
    <w:rPr>
      <w:rFonts w:ascii="Arial" w:hAnsi="Arial" w:eastAsia="黑体"/>
      <w:b/>
      <w:sz w:val="24"/>
    </w:rPr>
  </w:style>
  <w:style w:type="character" w:customStyle="1" w:styleId="75">
    <w:name w:val="标题 7 字符"/>
    <w:basedOn w:val="61"/>
    <w:link w:val="9"/>
    <w:qFormat/>
    <w:uiPriority w:val="0"/>
    <w:rPr>
      <w:b/>
      <w:sz w:val="24"/>
    </w:rPr>
  </w:style>
  <w:style w:type="character" w:customStyle="1" w:styleId="76">
    <w:name w:val="标题 8 字符"/>
    <w:basedOn w:val="61"/>
    <w:link w:val="10"/>
    <w:qFormat/>
    <w:uiPriority w:val="0"/>
    <w:rPr>
      <w:rFonts w:ascii="Arial" w:hAnsi="Arial" w:eastAsia="黑体"/>
      <w:sz w:val="24"/>
    </w:rPr>
  </w:style>
  <w:style w:type="character" w:customStyle="1" w:styleId="77">
    <w:name w:val="标题 9 字符"/>
    <w:basedOn w:val="61"/>
    <w:link w:val="11"/>
    <w:qFormat/>
    <w:uiPriority w:val="0"/>
    <w:rPr>
      <w:rFonts w:ascii="Arial" w:hAnsi="Arial" w:eastAsia="黑体"/>
      <w:sz w:val="24"/>
    </w:rPr>
  </w:style>
  <w:style w:type="character" w:customStyle="1" w:styleId="78">
    <w:name w:val="纯文本 字符"/>
    <w:link w:val="31"/>
    <w:qFormat/>
    <w:uiPriority w:val="0"/>
    <w:rPr>
      <w:rFonts w:ascii="宋体" w:hAnsi="Courier New"/>
      <w:kern w:val="2"/>
      <w:sz w:val="21"/>
    </w:rPr>
  </w:style>
  <w:style w:type="character" w:customStyle="1" w:styleId="79">
    <w:name w:val="页脚 字符"/>
    <w:basedOn w:val="61"/>
    <w:link w:val="37"/>
    <w:qFormat/>
    <w:uiPriority w:val="99"/>
    <w:rPr>
      <w:kern w:val="2"/>
      <w:sz w:val="18"/>
    </w:rPr>
  </w:style>
  <w:style w:type="character" w:customStyle="1" w:styleId="80">
    <w:name w:val="页眉 字符"/>
    <w:link w:val="38"/>
    <w:qFormat/>
    <w:uiPriority w:val="0"/>
    <w:rPr>
      <w:kern w:val="2"/>
      <w:sz w:val="18"/>
    </w:rPr>
  </w:style>
  <w:style w:type="character" w:customStyle="1" w:styleId="81">
    <w:name w:val="标题 字符"/>
    <w:link w:val="55"/>
    <w:qFormat/>
    <w:uiPriority w:val="0"/>
    <w:rPr>
      <w:rFonts w:ascii="黑体" w:eastAsia="黑体"/>
      <w:snapToGrid w:val="0"/>
      <w:kern w:val="2"/>
      <w:sz w:val="28"/>
    </w:rPr>
  </w:style>
  <w:style w:type="paragraph" w:customStyle="1" w:styleId="82">
    <w:name w:val="Char Char Char1 Char Char Char Char"/>
    <w:basedOn w:val="1"/>
    <w:qFormat/>
    <w:uiPriority w:val="0"/>
    <w:rPr>
      <w:szCs w:val="21"/>
    </w:rPr>
  </w:style>
  <w:style w:type="character" w:customStyle="1" w:styleId="83">
    <w:name w:val="批注框文本 字符"/>
    <w:basedOn w:val="61"/>
    <w:link w:val="36"/>
    <w:qFormat/>
    <w:uiPriority w:val="0"/>
    <w:rPr>
      <w:kern w:val="2"/>
      <w:sz w:val="18"/>
      <w:szCs w:val="18"/>
    </w:rPr>
  </w:style>
  <w:style w:type="character" w:customStyle="1" w:styleId="84">
    <w:name w:val="正文缩进 字符"/>
    <w:link w:val="18"/>
    <w:qFormat/>
    <w:uiPriority w:val="0"/>
    <w:rPr>
      <w:rFonts w:ascii="@楷体" w:hAnsi="Symbol" w:eastAsia="楷体"/>
      <w:kern w:val="28"/>
      <w:sz w:val="15"/>
    </w:rPr>
  </w:style>
  <w:style w:type="paragraph" w:customStyle="1" w:styleId="85">
    <w:name w:val="列出段落1"/>
    <w:basedOn w:val="1"/>
    <w:link w:val="86"/>
    <w:qFormat/>
    <w:uiPriority w:val="34"/>
    <w:pPr>
      <w:ind w:firstLine="420" w:firstLineChars="200"/>
    </w:pPr>
    <w:rPr>
      <w:rFonts w:ascii="Calibri" w:hAnsi="Calibri" w:cs="Calibri"/>
      <w:szCs w:val="21"/>
    </w:rPr>
  </w:style>
  <w:style w:type="character" w:customStyle="1" w:styleId="86">
    <w:name w:val="列出段落 Char"/>
    <w:link w:val="85"/>
    <w:qFormat/>
    <w:uiPriority w:val="34"/>
    <w:rPr>
      <w:rFonts w:ascii="Calibri" w:hAnsi="Calibri" w:cs="Calibri"/>
      <w:kern w:val="2"/>
      <w:sz w:val="21"/>
      <w:szCs w:val="21"/>
    </w:rPr>
  </w:style>
  <w:style w:type="character" w:customStyle="1" w:styleId="87">
    <w:name w:val="正文文本 字符"/>
    <w:basedOn w:val="61"/>
    <w:link w:val="26"/>
    <w:qFormat/>
    <w:uiPriority w:val="0"/>
    <w:rPr>
      <w:rFonts w:ascii="宋体" w:hAnsi="宋体"/>
      <w:color w:val="0000FF"/>
      <w:kern w:val="2"/>
      <w:sz w:val="24"/>
      <w:szCs w:val="24"/>
    </w:rPr>
  </w:style>
  <w:style w:type="paragraph" w:styleId="88">
    <w:name w:val="List Paragraph"/>
    <w:basedOn w:val="1"/>
    <w:qFormat/>
    <w:uiPriority w:val="34"/>
    <w:pPr>
      <w:ind w:firstLine="420" w:firstLineChars="200"/>
    </w:pPr>
  </w:style>
  <w:style w:type="table" w:customStyle="1" w:styleId="89">
    <w:name w:val="网格型1"/>
    <w:basedOn w:val="5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0">
    <w:name w:val="正文缩进 Char"/>
    <w:link w:val="91"/>
    <w:qFormat/>
    <w:uiPriority w:val="0"/>
    <w:rPr>
      <w:rFonts w:ascii="@楷体" w:hAnsi="Symbol" w:eastAsia="楷体"/>
      <w:kern w:val="28"/>
      <w:sz w:val="15"/>
      <w:lang w:val="en-US" w:eastAsia="zh-CN" w:bidi="ar-SA"/>
    </w:rPr>
  </w:style>
  <w:style w:type="paragraph" w:customStyle="1" w:styleId="91">
    <w:name w:val="标题4"/>
    <w:basedOn w:val="6"/>
    <w:link w:val="90"/>
    <w:qFormat/>
    <w:uiPriority w:val="0"/>
    <w:pPr>
      <w:keepLines w:val="0"/>
      <w:numPr>
        <w:numId w:val="4"/>
      </w:numPr>
      <w:tabs>
        <w:tab w:val="left" w:pos="720"/>
        <w:tab w:val="left" w:pos="3011"/>
      </w:tabs>
      <w:spacing w:before="0" w:after="0" w:line="360" w:lineRule="auto"/>
      <w:jc w:val="both"/>
    </w:pPr>
    <w:rPr>
      <w:rFonts w:ascii="@楷体" w:hAnsi="Symbol" w:eastAsia="楷体"/>
      <w:b w:val="0"/>
      <w:kern w:val="28"/>
      <w:sz w:val="15"/>
    </w:rPr>
  </w:style>
  <w:style w:type="character" w:customStyle="1" w:styleId="92">
    <w:name w:val="文档结构图 字符1"/>
    <w:link w:val="21"/>
    <w:qFormat/>
    <w:uiPriority w:val="0"/>
    <w:rPr>
      <w:rFonts w:ascii="宋体"/>
      <w:kern w:val="2"/>
      <w:sz w:val="18"/>
      <w:szCs w:val="18"/>
    </w:rPr>
  </w:style>
  <w:style w:type="character" w:customStyle="1" w:styleId="93">
    <w:name w:val="文档结构图 字符"/>
    <w:basedOn w:val="61"/>
    <w:qFormat/>
    <w:uiPriority w:val="0"/>
    <w:rPr>
      <w:rFonts w:ascii="Microsoft YaHei UI" w:eastAsia="Microsoft YaHei UI"/>
      <w:kern w:val="2"/>
      <w:sz w:val="18"/>
      <w:szCs w:val="18"/>
    </w:rPr>
  </w:style>
  <w:style w:type="character" w:customStyle="1" w:styleId="94">
    <w:name w:val="批注文字 字符"/>
    <w:basedOn w:val="61"/>
    <w:link w:val="23"/>
    <w:qFormat/>
    <w:uiPriority w:val="0"/>
    <w:rPr>
      <w:kern w:val="2"/>
      <w:sz w:val="21"/>
    </w:rPr>
  </w:style>
  <w:style w:type="character" w:customStyle="1" w:styleId="95">
    <w:name w:val="正文文本缩进 字符"/>
    <w:basedOn w:val="61"/>
    <w:link w:val="27"/>
    <w:qFormat/>
    <w:uiPriority w:val="0"/>
    <w:rPr>
      <w:kern w:val="2"/>
      <w:sz w:val="21"/>
      <w:szCs w:val="24"/>
    </w:rPr>
  </w:style>
  <w:style w:type="character" w:customStyle="1" w:styleId="96">
    <w:name w:val="纯文本 Char"/>
    <w:qFormat/>
    <w:uiPriority w:val="0"/>
    <w:rPr>
      <w:rFonts w:ascii="宋体" w:hAnsi="Courier New"/>
      <w:kern w:val="2"/>
      <w:sz w:val="21"/>
    </w:rPr>
  </w:style>
  <w:style w:type="character" w:customStyle="1" w:styleId="97">
    <w:name w:val="日期 字符"/>
    <w:basedOn w:val="61"/>
    <w:link w:val="33"/>
    <w:qFormat/>
    <w:uiPriority w:val="0"/>
    <w:rPr>
      <w:kern w:val="2"/>
      <w:sz w:val="21"/>
    </w:rPr>
  </w:style>
  <w:style w:type="character" w:customStyle="1" w:styleId="98">
    <w:name w:val="正文文本缩进 2 字符"/>
    <w:basedOn w:val="61"/>
    <w:link w:val="34"/>
    <w:qFormat/>
    <w:uiPriority w:val="0"/>
    <w:rPr>
      <w:rFonts w:ascii="宋体" w:hAnsi="宋体"/>
      <w:color w:val="FF0000"/>
      <w:kern w:val="2"/>
      <w:sz w:val="24"/>
      <w:szCs w:val="24"/>
    </w:rPr>
  </w:style>
  <w:style w:type="character" w:customStyle="1" w:styleId="99">
    <w:name w:val="页脚 Char"/>
    <w:qFormat/>
    <w:uiPriority w:val="0"/>
    <w:rPr>
      <w:kern w:val="2"/>
      <w:sz w:val="18"/>
      <w:szCs w:val="18"/>
      <w:lang w:val="en-US" w:eastAsia="zh-CN"/>
    </w:rPr>
  </w:style>
  <w:style w:type="character" w:customStyle="1" w:styleId="100">
    <w:name w:val="正文文本缩进 3 字符"/>
    <w:basedOn w:val="61"/>
    <w:link w:val="45"/>
    <w:qFormat/>
    <w:uiPriority w:val="0"/>
    <w:rPr>
      <w:rFonts w:ascii="宋体"/>
      <w:kern w:val="2"/>
      <w:sz w:val="24"/>
      <w:szCs w:val="24"/>
    </w:rPr>
  </w:style>
  <w:style w:type="character" w:customStyle="1" w:styleId="101">
    <w:name w:val="正文文本 2 字符"/>
    <w:basedOn w:val="61"/>
    <w:link w:val="48"/>
    <w:qFormat/>
    <w:uiPriority w:val="0"/>
    <w:rPr>
      <w:rFonts w:ascii="宋体"/>
      <w:b/>
      <w:bCs/>
      <w:color w:val="0000FF"/>
      <w:kern w:val="2"/>
      <w:sz w:val="30"/>
      <w:szCs w:val="24"/>
    </w:rPr>
  </w:style>
  <w:style w:type="character" w:customStyle="1" w:styleId="102">
    <w:name w:val="HTML 预设格式 字符1"/>
    <w:link w:val="51"/>
    <w:qFormat/>
    <w:uiPriority w:val="99"/>
    <w:rPr>
      <w:rFonts w:ascii="宋体" w:hAnsi="宋体" w:cs="宋体"/>
      <w:sz w:val="24"/>
      <w:szCs w:val="24"/>
    </w:rPr>
  </w:style>
  <w:style w:type="character" w:customStyle="1" w:styleId="103">
    <w:name w:val="HTML 预设格式 字符"/>
    <w:basedOn w:val="61"/>
    <w:semiHidden/>
    <w:qFormat/>
    <w:uiPriority w:val="99"/>
    <w:rPr>
      <w:rFonts w:ascii="Courier New" w:hAnsi="Courier New" w:cs="Courier New"/>
      <w:kern w:val="2"/>
    </w:rPr>
  </w:style>
  <w:style w:type="character" w:customStyle="1" w:styleId="104">
    <w:name w:val="批注主题 字符"/>
    <w:basedOn w:val="94"/>
    <w:link w:val="56"/>
    <w:semiHidden/>
    <w:qFormat/>
    <w:uiPriority w:val="0"/>
    <w:rPr>
      <w:b/>
      <w:bCs/>
      <w:kern w:val="2"/>
      <w:sz w:val="21"/>
      <w:szCs w:val="24"/>
    </w:rPr>
  </w:style>
  <w:style w:type="character" w:customStyle="1" w:styleId="105">
    <w:name w:val="txt41"/>
    <w:qFormat/>
    <w:uiPriority w:val="0"/>
    <w:rPr>
      <w:b/>
      <w:bCs/>
      <w:color w:val="000000"/>
      <w:sz w:val="29"/>
      <w:szCs w:val="29"/>
    </w:rPr>
  </w:style>
  <w:style w:type="character" w:customStyle="1" w:styleId="106">
    <w:name w:val="样式12 Char"/>
    <w:link w:val="107"/>
    <w:qFormat/>
    <w:locked/>
    <w:uiPriority w:val="0"/>
    <w:rPr>
      <w:kern w:val="2"/>
      <w:sz w:val="24"/>
    </w:rPr>
  </w:style>
  <w:style w:type="paragraph" w:customStyle="1" w:styleId="107">
    <w:name w:val="样式12"/>
    <w:basedOn w:val="1"/>
    <w:link w:val="106"/>
    <w:qFormat/>
    <w:uiPriority w:val="0"/>
    <w:pPr>
      <w:tabs>
        <w:tab w:val="left" w:pos="533"/>
      </w:tabs>
      <w:ind w:left="420" w:hanging="420"/>
    </w:pPr>
    <w:rPr>
      <w:sz w:val="24"/>
    </w:rPr>
  </w:style>
  <w:style w:type="character" w:customStyle="1" w:styleId="108">
    <w:name w:val="txt91"/>
    <w:qFormat/>
    <w:uiPriority w:val="0"/>
    <w:rPr>
      <w:b/>
      <w:bCs/>
      <w:color w:val="330066"/>
      <w:sz w:val="22"/>
      <w:szCs w:val="22"/>
    </w:rPr>
  </w:style>
  <w:style w:type="character" w:customStyle="1" w:styleId="109">
    <w:name w:val="txt14"/>
    <w:qFormat/>
    <w:uiPriority w:val="0"/>
    <w:rPr>
      <w:color w:val="000000"/>
      <w:sz w:val="29"/>
      <w:szCs w:val="29"/>
    </w:rPr>
  </w:style>
  <w:style w:type="paragraph" w:customStyle="1" w:styleId="110">
    <w:name w:val="大标题"/>
    <w:basedOn w:val="1"/>
    <w:qFormat/>
    <w:uiPriority w:val="0"/>
    <w:pPr>
      <w:jc w:val="center"/>
    </w:pPr>
    <w:rPr>
      <w:rFonts w:ascii="黑体" w:eastAsia="黑体" w:cs="宋体"/>
      <w:b/>
      <w:bCs/>
      <w:sz w:val="32"/>
    </w:rPr>
  </w:style>
  <w:style w:type="paragraph" w:customStyle="1" w:styleId="111">
    <w:name w:val="4 Char"/>
    <w:basedOn w:val="1"/>
    <w:qFormat/>
    <w:uiPriority w:val="0"/>
    <w:rPr>
      <w:szCs w:val="24"/>
    </w:rPr>
  </w:style>
  <w:style w:type="paragraph" w:customStyle="1" w:styleId="112">
    <w:name w:val="Char Char Char1"/>
    <w:basedOn w:val="1"/>
    <w:qFormat/>
    <w:uiPriority w:val="0"/>
    <w:rPr>
      <w:szCs w:val="24"/>
    </w:rPr>
  </w:style>
  <w:style w:type="paragraph" w:customStyle="1" w:styleId="113">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14">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15">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16">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17">
    <w:name w:val="Char"/>
    <w:basedOn w:val="1"/>
    <w:qFormat/>
    <w:uiPriority w:val="0"/>
    <w:rPr>
      <w:szCs w:val="21"/>
    </w:rPr>
  </w:style>
  <w:style w:type="paragraph" w:customStyle="1" w:styleId="118">
    <w:name w:val="列出段落2"/>
    <w:basedOn w:val="1"/>
    <w:qFormat/>
    <w:uiPriority w:val="0"/>
    <w:pPr>
      <w:ind w:firstLine="420" w:firstLineChars="200"/>
    </w:pPr>
    <w:rPr>
      <w:rFonts w:ascii="Calibri" w:hAnsi="Calibri" w:cs="Calibri"/>
      <w:szCs w:val="21"/>
    </w:rPr>
  </w:style>
  <w:style w:type="paragraph" w:customStyle="1" w:styleId="119">
    <w:name w:val="ST20_17"/>
    <w:basedOn w:val="6"/>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20">
    <w:name w:val="Char1"/>
    <w:basedOn w:val="1"/>
    <w:qFormat/>
    <w:uiPriority w:val="0"/>
    <w:rPr>
      <w:szCs w:val="24"/>
    </w:rPr>
  </w:style>
  <w:style w:type="paragraph" w:customStyle="1" w:styleId="121">
    <w:name w:val="Char Char Char Char"/>
    <w:basedOn w:val="1"/>
    <w:qFormat/>
    <w:uiPriority w:val="0"/>
    <w:pPr>
      <w:adjustRightInd w:val="0"/>
      <w:spacing w:line="360" w:lineRule="auto"/>
    </w:pPr>
    <w:rPr>
      <w:rFonts w:ascii="Tahoma" w:hAnsi="Tahoma"/>
      <w:kern w:val="0"/>
      <w:sz w:val="24"/>
    </w:rPr>
  </w:style>
  <w:style w:type="paragraph" w:customStyle="1" w:styleId="122">
    <w:name w:val="内容文字"/>
    <w:basedOn w:val="1"/>
    <w:qFormat/>
    <w:uiPriority w:val="0"/>
    <w:pPr>
      <w:spacing w:line="360" w:lineRule="exact"/>
    </w:pPr>
    <w:rPr>
      <w:rFonts w:ascii="宋体"/>
      <w:sz w:val="24"/>
    </w:rPr>
  </w:style>
  <w:style w:type="paragraph" w:customStyle="1" w:styleId="123">
    <w:name w:val="tablecontents"/>
    <w:basedOn w:val="1"/>
    <w:qFormat/>
    <w:uiPriority w:val="0"/>
    <w:pPr>
      <w:widowControl/>
      <w:spacing w:after="60"/>
    </w:pPr>
    <w:rPr>
      <w:rFonts w:ascii="Arial" w:hAnsi="Arial"/>
      <w:kern w:val="0"/>
      <w:sz w:val="20"/>
    </w:rPr>
  </w:style>
  <w:style w:type="paragraph" w:customStyle="1" w:styleId="124">
    <w:name w:val="5 Char Char Char Char"/>
    <w:basedOn w:val="1"/>
    <w:qFormat/>
    <w:uiPriority w:val="0"/>
    <w:pPr>
      <w:keepNext/>
      <w:keepLines/>
      <w:spacing w:line="360" w:lineRule="auto"/>
      <w:ind w:firstLine="480" w:firstLineChars="200"/>
    </w:pPr>
    <w:rPr>
      <w:kern w:val="0"/>
      <w:sz w:val="24"/>
    </w:rPr>
  </w:style>
  <w:style w:type="paragraph" w:customStyle="1" w:styleId="125">
    <w:name w:val="Char Char Char Char Char Char Char"/>
    <w:basedOn w:val="1"/>
    <w:qFormat/>
    <w:uiPriority w:val="0"/>
    <w:pPr>
      <w:adjustRightInd w:val="0"/>
      <w:spacing w:line="360" w:lineRule="auto"/>
    </w:pPr>
    <w:rPr>
      <w:rFonts w:ascii="Tahoma" w:hAnsi="Tahoma"/>
      <w:kern w:val="0"/>
      <w:sz w:val="24"/>
    </w:rPr>
  </w:style>
  <w:style w:type="character" w:customStyle="1" w:styleId="126">
    <w:name w:val="readmail_locationtip"/>
    <w:qFormat/>
    <w:uiPriority w:val="0"/>
  </w:style>
  <w:style w:type="table" w:customStyle="1" w:styleId="127">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28">
    <w:name w:val="TOC 11"/>
    <w:basedOn w:val="1"/>
    <w:next w:val="1"/>
    <w:qFormat/>
    <w:locked/>
    <w:uiPriority w:val="39"/>
    <w:rPr>
      <w:szCs w:val="21"/>
    </w:rPr>
  </w:style>
  <w:style w:type="character" w:customStyle="1" w:styleId="129">
    <w:name w:val="副标题 字符"/>
    <w:basedOn w:val="61"/>
    <w:link w:val="41"/>
    <w:qFormat/>
    <w:uiPriority w:val="0"/>
    <w:rPr>
      <w:rFonts w:ascii="Cambria" w:hAnsi="Cambria"/>
      <w:b/>
      <w:bCs/>
      <w:kern w:val="28"/>
      <w:sz w:val="32"/>
      <w:szCs w:val="32"/>
    </w:rPr>
  </w:style>
  <w:style w:type="character" w:customStyle="1" w:styleId="130">
    <w:name w:val="技术规范书正文 Char"/>
    <w:link w:val="131"/>
    <w:qFormat/>
    <w:locked/>
    <w:uiPriority w:val="0"/>
    <w:rPr>
      <w:kern w:val="2"/>
      <w:sz w:val="24"/>
      <w:szCs w:val="24"/>
    </w:rPr>
  </w:style>
  <w:style w:type="paragraph" w:customStyle="1" w:styleId="131">
    <w:name w:val="技术规范书正文"/>
    <w:link w:val="130"/>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32">
    <w:name w:val="TOC 41"/>
    <w:basedOn w:val="1"/>
    <w:next w:val="1"/>
    <w:qFormat/>
    <w:locked/>
    <w:uiPriority w:val="0"/>
    <w:pPr>
      <w:ind w:left="1260" w:leftChars="600"/>
    </w:pPr>
    <w:rPr>
      <w:szCs w:val="21"/>
    </w:rPr>
  </w:style>
  <w:style w:type="paragraph" w:customStyle="1" w:styleId="133">
    <w:name w:val="TOC 51"/>
    <w:basedOn w:val="1"/>
    <w:next w:val="1"/>
    <w:qFormat/>
    <w:locked/>
    <w:uiPriority w:val="0"/>
    <w:pPr>
      <w:ind w:left="1680" w:leftChars="800"/>
    </w:pPr>
    <w:rPr>
      <w:szCs w:val="21"/>
    </w:rPr>
  </w:style>
  <w:style w:type="paragraph" w:customStyle="1" w:styleId="134">
    <w:name w:val="TOC 71"/>
    <w:basedOn w:val="1"/>
    <w:next w:val="1"/>
    <w:qFormat/>
    <w:locked/>
    <w:uiPriority w:val="0"/>
    <w:pPr>
      <w:ind w:left="2520" w:leftChars="1200"/>
    </w:pPr>
    <w:rPr>
      <w:szCs w:val="21"/>
    </w:rPr>
  </w:style>
  <w:style w:type="paragraph" w:customStyle="1" w:styleId="135">
    <w:name w:val="TOC 21"/>
    <w:basedOn w:val="1"/>
    <w:next w:val="1"/>
    <w:qFormat/>
    <w:locked/>
    <w:uiPriority w:val="0"/>
    <w:pPr>
      <w:ind w:left="420" w:leftChars="200"/>
    </w:pPr>
    <w:rPr>
      <w:szCs w:val="21"/>
    </w:rPr>
  </w:style>
  <w:style w:type="paragraph" w:customStyle="1" w:styleId="136">
    <w:name w:val="TOC 61"/>
    <w:basedOn w:val="1"/>
    <w:next w:val="1"/>
    <w:qFormat/>
    <w:locked/>
    <w:uiPriority w:val="0"/>
    <w:pPr>
      <w:ind w:left="2100" w:leftChars="1000"/>
    </w:pPr>
    <w:rPr>
      <w:szCs w:val="21"/>
    </w:rPr>
  </w:style>
  <w:style w:type="paragraph" w:customStyle="1" w:styleId="137">
    <w:name w:val="TOC 31"/>
    <w:basedOn w:val="1"/>
    <w:next w:val="1"/>
    <w:qFormat/>
    <w:locked/>
    <w:uiPriority w:val="0"/>
    <w:pPr>
      <w:ind w:left="840" w:leftChars="400"/>
    </w:pPr>
    <w:rPr>
      <w:szCs w:val="21"/>
    </w:rPr>
  </w:style>
  <w:style w:type="paragraph" w:customStyle="1" w:styleId="138">
    <w:name w:val="TOC 91"/>
    <w:basedOn w:val="1"/>
    <w:next w:val="1"/>
    <w:qFormat/>
    <w:locked/>
    <w:uiPriority w:val="0"/>
    <w:pPr>
      <w:ind w:left="3360" w:leftChars="1600"/>
    </w:pPr>
    <w:rPr>
      <w:szCs w:val="21"/>
    </w:rPr>
  </w:style>
  <w:style w:type="paragraph" w:customStyle="1" w:styleId="139">
    <w:name w:val="TOC 81"/>
    <w:basedOn w:val="1"/>
    <w:next w:val="1"/>
    <w:qFormat/>
    <w:locked/>
    <w:uiPriority w:val="0"/>
    <w:pPr>
      <w:ind w:left="2940" w:leftChars="1400"/>
    </w:pPr>
    <w:rPr>
      <w:szCs w:val="21"/>
    </w:rPr>
  </w:style>
  <w:style w:type="paragraph" w:customStyle="1" w:styleId="140">
    <w:name w:val="正文缩进1"/>
    <w:basedOn w:val="1"/>
    <w:qFormat/>
    <w:uiPriority w:val="0"/>
    <w:pPr>
      <w:adjustRightInd w:val="0"/>
      <w:spacing w:line="360" w:lineRule="atLeast"/>
      <w:ind w:firstLine="420"/>
      <w:jc w:val="left"/>
      <w:textAlignment w:val="baseline"/>
    </w:pPr>
    <w:rPr>
      <w:kern w:val="0"/>
      <w:sz w:val="24"/>
    </w:rPr>
  </w:style>
  <w:style w:type="paragraph" w:customStyle="1" w:styleId="141">
    <w:name w:val="正文1"/>
    <w:basedOn w:val="1"/>
    <w:link w:val="186"/>
    <w:qFormat/>
    <w:uiPriority w:val="0"/>
    <w:pPr>
      <w:adjustRightInd w:val="0"/>
      <w:spacing w:line="360" w:lineRule="atLeast"/>
      <w:jc w:val="left"/>
      <w:textAlignment w:val="baseline"/>
    </w:pPr>
    <w:rPr>
      <w:rFonts w:ascii="宋体"/>
      <w:kern w:val="0"/>
      <w:sz w:val="24"/>
    </w:rPr>
  </w:style>
  <w:style w:type="paragraph" w:customStyle="1" w:styleId="142">
    <w:name w:val="样式1"/>
    <w:basedOn w:val="1"/>
    <w:link w:val="185"/>
    <w:qFormat/>
    <w:uiPriority w:val="0"/>
    <w:pPr>
      <w:adjustRightInd w:val="0"/>
      <w:spacing w:line="420" w:lineRule="auto"/>
      <w:jc w:val="center"/>
      <w:textAlignment w:val="baseline"/>
    </w:pPr>
    <w:rPr>
      <w:rFonts w:ascii="宋体"/>
      <w:kern w:val="0"/>
      <w:sz w:val="24"/>
      <w:szCs w:val="24"/>
    </w:rPr>
  </w:style>
  <w:style w:type="paragraph" w:customStyle="1" w:styleId="143">
    <w:name w:val="Char Char1 Char"/>
    <w:basedOn w:val="1"/>
    <w:qFormat/>
    <w:uiPriority w:val="0"/>
    <w:rPr>
      <w:rFonts w:ascii="宋体"/>
      <w:kern w:val="0"/>
      <w:sz w:val="24"/>
    </w:rPr>
  </w:style>
  <w:style w:type="paragraph" w:customStyle="1" w:styleId="144">
    <w:name w:val="纯文本1"/>
    <w:basedOn w:val="1"/>
    <w:qFormat/>
    <w:uiPriority w:val="0"/>
    <w:rPr>
      <w:rFonts w:ascii="宋体" w:hAnsi="Courier New"/>
    </w:rPr>
  </w:style>
  <w:style w:type="paragraph" w:customStyle="1" w:styleId="145">
    <w:name w:val="p0"/>
    <w:basedOn w:val="1"/>
    <w:qFormat/>
    <w:uiPriority w:val="0"/>
    <w:pPr>
      <w:widowControl/>
    </w:pPr>
    <w:rPr>
      <w:kern w:val="0"/>
      <w:szCs w:val="21"/>
    </w:rPr>
  </w:style>
  <w:style w:type="paragraph" w:customStyle="1" w:styleId="146">
    <w:name w:val="Char Char Char Char1"/>
    <w:basedOn w:val="1"/>
    <w:qFormat/>
    <w:uiPriority w:val="0"/>
    <w:rPr>
      <w:szCs w:val="24"/>
    </w:rPr>
  </w:style>
  <w:style w:type="character" w:customStyle="1" w:styleId="147">
    <w:name w:val="正文文本首行缩进 字符"/>
    <w:basedOn w:val="87"/>
    <w:link w:val="57"/>
    <w:qFormat/>
    <w:uiPriority w:val="0"/>
    <w:rPr>
      <w:rFonts w:ascii="宋体" w:hAnsi="宋体"/>
      <w:color w:val="0000FF"/>
      <w:kern w:val="2"/>
      <w:sz w:val="24"/>
      <w:szCs w:val="24"/>
    </w:rPr>
  </w:style>
  <w:style w:type="character" w:customStyle="1" w:styleId="148">
    <w:name w:val="标题 1 Char1"/>
    <w:basedOn w:val="61"/>
    <w:qFormat/>
    <w:uiPriority w:val="0"/>
    <w:rPr>
      <w:rFonts w:eastAsia="宋体"/>
      <w:b/>
      <w:bCs/>
      <w:color w:val="000000"/>
      <w:kern w:val="44"/>
      <w:sz w:val="24"/>
      <w:szCs w:val="32"/>
      <w:lang w:val="en-US" w:eastAsia="zh-CN" w:bidi="ar-SA"/>
    </w:rPr>
  </w:style>
  <w:style w:type="character" w:customStyle="1" w:styleId="149">
    <w:name w:val="标题 2 Char1"/>
    <w:basedOn w:val="61"/>
    <w:qFormat/>
    <w:uiPriority w:val="0"/>
    <w:rPr>
      <w:rFonts w:eastAsia="宋体"/>
      <w:b/>
      <w:bCs/>
      <w:kern w:val="2"/>
      <w:sz w:val="24"/>
      <w:lang w:val="en-US" w:eastAsia="zh-CN" w:bidi="ar-SA"/>
    </w:rPr>
  </w:style>
  <w:style w:type="paragraph" w:customStyle="1" w:styleId="150">
    <w:name w:val="Char Char Char"/>
    <w:basedOn w:val="1"/>
    <w:qFormat/>
    <w:uiPriority w:val="0"/>
    <w:rPr>
      <w:sz w:val="24"/>
      <w:szCs w:val="24"/>
    </w:rPr>
  </w:style>
  <w:style w:type="paragraph" w:customStyle="1" w:styleId="151">
    <w:name w:val="Char1 Char Char Char"/>
    <w:basedOn w:val="1"/>
    <w:qFormat/>
    <w:uiPriority w:val="0"/>
    <w:rPr>
      <w:sz w:val="24"/>
      <w:szCs w:val="24"/>
    </w:rPr>
  </w:style>
  <w:style w:type="paragraph" w:customStyle="1" w:styleId="152">
    <w:name w:val="Char Char Char Char Char Char Char Char Char Char Char Char"/>
    <w:basedOn w:val="1"/>
    <w:qFormat/>
    <w:uiPriority w:val="0"/>
    <w:rPr>
      <w:szCs w:val="24"/>
    </w:rPr>
  </w:style>
  <w:style w:type="paragraph" w:customStyle="1" w:styleId="153">
    <w:name w:val="Char Char2 Char Char Char Char Char Char Char Char Char1"/>
    <w:basedOn w:val="1"/>
    <w:qFormat/>
    <w:uiPriority w:val="0"/>
    <w:rPr>
      <w:sz w:val="24"/>
      <w:szCs w:val="24"/>
    </w:rPr>
  </w:style>
  <w:style w:type="paragraph" w:customStyle="1" w:styleId="154">
    <w:name w:val="Char Char"/>
    <w:basedOn w:val="1"/>
    <w:qFormat/>
    <w:uiPriority w:val="0"/>
    <w:rPr>
      <w:sz w:val="24"/>
      <w:szCs w:val="24"/>
    </w:rPr>
  </w:style>
  <w:style w:type="paragraph" w:customStyle="1" w:styleId="155">
    <w:name w:val="表格"/>
    <w:basedOn w:val="1"/>
    <w:qFormat/>
    <w:uiPriority w:val="0"/>
    <w:pPr>
      <w:adjustRightInd w:val="0"/>
      <w:spacing w:before="60" w:after="60"/>
      <w:jc w:val="center"/>
      <w:textAlignment w:val="baseline"/>
    </w:pPr>
    <w:rPr>
      <w:rFonts w:ascii="宋体"/>
      <w:kern w:val="0"/>
      <w:sz w:val="24"/>
    </w:rPr>
  </w:style>
  <w:style w:type="paragraph" w:customStyle="1" w:styleId="156">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7">
    <w:name w:val="样式2"/>
    <w:basedOn w:val="1"/>
    <w:link w:val="181"/>
    <w:qFormat/>
    <w:uiPriority w:val="0"/>
    <w:pPr>
      <w:adjustRightInd w:val="0"/>
      <w:spacing w:line="410" w:lineRule="atLeast"/>
      <w:jc w:val="left"/>
      <w:textAlignment w:val="baseline"/>
    </w:pPr>
    <w:rPr>
      <w:kern w:val="0"/>
      <w:sz w:val="24"/>
    </w:rPr>
  </w:style>
  <w:style w:type="paragraph" w:customStyle="1" w:styleId="158">
    <w:name w:val="1-表内"/>
    <w:basedOn w:val="1"/>
    <w:qFormat/>
    <w:uiPriority w:val="0"/>
    <w:rPr>
      <w:rFonts w:ascii="宋体" w:hAnsi="宋体"/>
      <w:szCs w:val="21"/>
    </w:rPr>
  </w:style>
  <w:style w:type="paragraph" w:customStyle="1" w:styleId="159">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60">
    <w:name w:val="Char Char Char Char Char Char Char Char Char Char Char Char1 Char Char Char Char"/>
    <w:basedOn w:val="1"/>
    <w:qFormat/>
    <w:uiPriority w:val="0"/>
    <w:rPr>
      <w:szCs w:val="24"/>
    </w:rPr>
  </w:style>
  <w:style w:type="character" w:customStyle="1" w:styleId="161">
    <w:name w:val="章节标题 Char Char"/>
    <w:basedOn w:val="61"/>
    <w:qFormat/>
    <w:uiPriority w:val="0"/>
    <w:rPr>
      <w:kern w:val="44"/>
      <w:sz w:val="44"/>
      <w:szCs w:val="44"/>
    </w:rPr>
  </w:style>
  <w:style w:type="paragraph" w:customStyle="1" w:styleId="162">
    <w:name w:val="Char Char Char Char Char Char1"/>
    <w:basedOn w:val="1"/>
    <w:qFormat/>
    <w:uiPriority w:val="0"/>
    <w:rPr>
      <w:szCs w:val="24"/>
    </w:rPr>
  </w:style>
  <w:style w:type="paragraph" w:customStyle="1" w:styleId="163">
    <w:name w:val="报告正文"/>
    <w:basedOn w:val="1"/>
    <w:qFormat/>
    <w:uiPriority w:val="0"/>
    <w:pPr>
      <w:spacing w:line="400" w:lineRule="exact"/>
      <w:ind w:firstLine="482"/>
    </w:pPr>
    <w:rPr>
      <w:lang w:bidi="he-IL"/>
    </w:rPr>
  </w:style>
  <w:style w:type="paragraph" w:customStyle="1" w:styleId="164">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65">
    <w:name w:val="Char Char Char2"/>
    <w:basedOn w:val="1"/>
    <w:qFormat/>
    <w:uiPriority w:val="0"/>
    <w:rPr>
      <w:szCs w:val="24"/>
    </w:rPr>
  </w:style>
  <w:style w:type="paragraph" w:customStyle="1" w:styleId="166">
    <w:name w:val="默认段落字体 Para Char Char Char Char"/>
    <w:basedOn w:val="1"/>
    <w:qFormat/>
    <w:uiPriority w:val="0"/>
    <w:rPr>
      <w:szCs w:val="24"/>
    </w:rPr>
  </w:style>
  <w:style w:type="paragraph" w:customStyle="1" w:styleId="167">
    <w:name w:val="Char Char1"/>
    <w:basedOn w:val="1"/>
    <w:qFormat/>
    <w:uiPriority w:val="0"/>
    <w:pPr>
      <w:adjustRightInd w:val="0"/>
      <w:spacing w:line="360" w:lineRule="atLeast"/>
      <w:jc w:val="left"/>
      <w:textAlignment w:val="baseline"/>
    </w:pPr>
    <w:rPr>
      <w:kern w:val="0"/>
      <w:sz w:val="24"/>
    </w:rPr>
  </w:style>
  <w:style w:type="character" w:customStyle="1" w:styleId="168">
    <w:name w:val="章节标题 Char"/>
    <w:qFormat/>
    <w:uiPriority w:val="0"/>
    <w:rPr>
      <w:rFonts w:eastAsia="宋体"/>
      <w:b/>
      <w:bCs/>
      <w:kern w:val="44"/>
      <w:sz w:val="44"/>
      <w:szCs w:val="44"/>
      <w:lang w:val="en-US" w:eastAsia="zh-CN" w:bidi="ar-SA"/>
    </w:rPr>
  </w:style>
  <w:style w:type="character" w:customStyle="1" w:styleId="169">
    <w:name w:val="标题 2 Char"/>
    <w:qFormat/>
    <w:uiPriority w:val="0"/>
    <w:rPr>
      <w:rFonts w:ascii="Arial" w:hAnsi="Arial" w:eastAsia="黑体"/>
      <w:b/>
      <w:bCs/>
      <w:kern w:val="2"/>
      <w:sz w:val="32"/>
      <w:szCs w:val="32"/>
      <w:lang w:val="en-US" w:eastAsia="zh-CN" w:bidi="ar-SA"/>
    </w:rPr>
  </w:style>
  <w:style w:type="character" w:customStyle="1" w:styleId="170">
    <w:name w:val="标题 3 Char"/>
    <w:qFormat/>
    <w:uiPriority w:val="0"/>
    <w:rPr>
      <w:rFonts w:eastAsia="宋体"/>
      <w:b/>
      <w:bCs/>
      <w:kern w:val="2"/>
      <w:sz w:val="32"/>
      <w:szCs w:val="32"/>
      <w:lang w:val="en-US" w:eastAsia="zh-CN" w:bidi="ar-SA"/>
    </w:rPr>
  </w:style>
  <w:style w:type="character" w:customStyle="1" w:styleId="171">
    <w:name w:val="标题 4 Char"/>
    <w:qFormat/>
    <w:uiPriority w:val="0"/>
    <w:rPr>
      <w:rFonts w:ascii="Arial" w:hAnsi="Arial" w:eastAsia="黑体"/>
      <w:b/>
      <w:bCs/>
      <w:kern w:val="2"/>
      <w:sz w:val="28"/>
      <w:szCs w:val="28"/>
      <w:lang w:val="en-US" w:eastAsia="zh-CN" w:bidi="ar-SA"/>
    </w:rPr>
  </w:style>
  <w:style w:type="character" w:customStyle="1" w:styleId="172">
    <w:name w:val="正文缩进 Char1"/>
    <w:qFormat/>
    <w:uiPriority w:val="0"/>
    <w:rPr>
      <w:rFonts w:eastAsia="宋体"/>
      <w:kern w:val="2"/>
      <w:sz w:val="21"/>
      <w:szCs w:val="24"/>
      <w:lang w:val="en-US" w:eastAsia="zh-CN" w:bidi="ar-SA"/>
    </w:rPr>
  </w:style>
  <w:style w:type="character" w:customStyle="1" w:styleId="173">
    <w:name w:val="标题 5 Char"/>
    <w:qFormat/>
    <w:uiPriority w:val="0"/>
    <w:rPr>
      <w:rFonts w:ascii="小标宋" w:eastAsia="宋体"/>
      <w:kern w:val="2"/>
      <w:sz w:val="24"/>
      <w:szCs w:val="24"/>
      <w:lang w:val="en-US" w:eastAsia="zh-CN" w:bidi="he-IL"/>
    </w:rPr>
  </w:style>
  <w:style w:type="character" w:customStyle="1" w:styleId="174">
    <w:name w:val="标题 6 Char"/>
    <w:qFormat/>
    <w:uiPriority w:val="0"/>
    <w:rPr>
      <w:rFonts w:ascii="Arial" w:hAnsi="Arial" w:eastAsia="黑体"/>
      <w:kern w:val="2"/>
      <w:sz w:val="24"/>
      <w:szCs w:val="24"/>
      <w:lang w:val="en-US" w:eastAsia="zh-CN" w:bidi="he-IL"/>
    </w:rPr>
  </w:style>
  <w:style w:type="character" w:customStyle="1" w:styleId="175">
    <w:name w:val="标题 7 Char"/>
    <w:qFormat/>
    <w:uiPriority w:val="0"/>
    <w:rPr>
      <w:rFonts w:ascii="宋体" w:eastAsia="宋体"/>
      <w:kern w:val="2"/>
      <w:sz w:val="24"/>
      <w:szCs w:val="24"/>
      <w:lang w:val="en-US" w:eastAsia="zh-CN" w:bidi="he-IL"/>
    </w:rPr>
  </w:style>
  <w:style w:type="character" w:customStyle="1" w:styleId="176">
    <w:name w:val="标题 9 Char"/>
    <w:qFormat/>
    <w:uiPriority w:val="0"/>
    <w:rPr>
      <w:rFonts w:ascii="Arial" w:hAnsi="Arial" w:eastAsia="黑体"/>
      <w:kern w:val="2"/>
      <w:sz w:val="21"/>
      <w:szCs w:val="21"/>
      <w:lang w:val="en-US" w:eastAsia="zh-CN" w:bidi="ar-SA"/>
    </w:rPr>
  </w:style>
  <w:style w:type="character" w:customStyle="1" w:styleId="177">
    <w:name w:val="日期 Char"/>
    <w:qFormat/>
    <w:uiPriority w:val="0"/>
    <w:rPr>
      <w:rFonts w:eastAsia="宋体"/>
      <w:kern w:val="2"/>
      <w:sz w:val="21"/>
      <w:szCs w:val="24"/>
      <w:lang w:val="en-US" w:eastAsia="zh-CN" w:bidi="ar-SA"/>
    </w:rPr>
  </w:style>
  <w:style w:type="character" w:customStyle="1" w:styleId="178">
    <w:name w:val="页眉 Char"/>
    <w:qFormat/>
    <w:uiPriority w:val="0"/>
    <w:rPr>
      <w:rFonts w:eastAsia="宋体"/>
      <w:kern w:val="2"/>
      <w:sz w:val="18"/>
      <w:szCs w:val="18"/>
      <w:lang w:val="en-US" w:eastAsia="zh-CN" w:bidi="ar-SA"/>
    </w:rPr>
  </w:style>
  <w:style w:type="character" w:customStyle="1" w:styleId="179">
    <w:name w:val="文档结构图 Char"/>
    <w:qFormat/>
    <w:uiPriority w:val="0"/>
    <w:rPr>
      <w:rFonts w:eastAsia="宋体"/>
      <w:sz w:val="21"/>
      <w:szCs w:val="21"/>
      <w:lang w:val="zh-CN" w:eastAsia="zh-CN" w:bidi="ar-SA"/>
    </w:rPr>
  </w:style>
  <w:style w:type="character" w:customStyle="1" w:styleId="180">
    <w:name w:val="正文文本 Char"/>
    <w:qFormat/>
    <w:uiPriority w:val="0"/>
    <w:rPr>
      <w:rFonts w:eastAsia="宋体"/>
      <w:sz w:val="24"/>
      <w:lang w:val="zh-CN" w:eastAsia="zh-CN" w:bidi="ar-SA"/>
    </w:rPr>
  </w:style>
  <w:style w:type="character" w:customStyle="1" w:styleId="181">
    <w:name w:val="样式2 Char1"/>
    <w:link w:val="157"/>
    <w:qFormat/>
    <w:uiPriority w:val="0"/>
    <w:rPr>
      <w:sz w:val="24"/>
    </w:rPr>
  </w:style>
  <w:style w:type="character" w:customStyle="1" w:styleId="182">
    <w:name w:val="正文文本缩进 Char"/>
    <w:qFormat/>
    <w:uiPriority w:val="0"/>
    <w:rPr>
      <w:rFonts w:eastAsia="宋体"/>
      <w:kern w:val="2"/>
      <w:sz w:val="21"/>
      <w:szCs w:val="24"/>
      <w:lang w:val="en-US" w:eastAsia="zh-CN" w:bidi="ar-SA"/>
    </w:rPr>
  </w:style>
  <w:style w:type="paragraph" w:customStyle="1" w:styleId="183">
    <w:name w:val="样式"/>
    <w:link w:val="184"/>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84">
    <w:name w:val="样式 Char"/>
    <w:link w:val="183"/>
    <w:qFormat/>
    <w:uiPriority w:val="0"/>
    <w:rPr>
      <w:rFonts w:ascii="宋体" w:hAnsi="宋体" w:cs="宋体"/>
      <w:sz w:val="24"/>
      <w:szCs w:val="24"/>
    </w:rPr>
  </w:style>
  <w:style w:type="character" w:customStyle="1" w:styleId="185">
    <w:name w:val="样式1 Char"/>
    <w:link w:val="142"/>
    <w:qFormat/>
    <w:uiPriority w:val="0"/>
    <w:rPr>
      <w:rFonts w:ascii="宋体"/>
      <w:sz w:val="24"/>
      <w:szCs w:val="24"/>
    </w:rPr>
  </w:style>
  <w:style w:type="character" w:customStyle="1" w:styleId="186">
    <w:name w:val="正文1 Char"/>
    <w:link w:val="141"/>
    <w:qFormat/>
    <w:uiPriority w:val="0"/>
    <w:rPr>
      <w:rFonts w:ascii="宋体"/>
      <w:sz w:val="24"/>
    </w:rPr>
  </w:style>
  <w:style w:type="character" w:customStyle="1" w:styleId="187">
    <w:name w:val="批注框文本 Char"/>
    <w:qFormat/>
    <w:uiPriority w:val="0"/>
    <w:rPr>
      <w:rFonts w:eastAsia="宋体"/>
      <w:kern w:val="2"/>
      <w:sz w:val="18"/>
      <w:szCs w:val="18"/>
      <w:lang w:val="en-US" w:eastAsia="zh-CN" w:bidi="ar-SA"/>
    </w:rPr>
  </w:style>
  <w:style w:type="character" w:customStyle="1" w:styleId="188">
    <w:name w:val="正文文本缩进 2 Char"/>
    <w:link w:val="189"/>
    <w:qFormat/>
    <w:uiPriority w:val="0"/>
    <w:rPr>
      <w:sz w:val="24"/>
    </w:rPr>
  </w:style>
  <w:style w:type="paragraph" w:customStyle="1" w:styleId="189">
    <w:name w:val="正文文本缩进 21"/>
    <w:basedOn w:val="1"/>
    <w:link w:val="188"/>
    <w:qFormat/>
    <w:uiPriority w:val="0"/>
    <w:pPr>
      <w:ind w:firstLine="840"/>
    </w:pPr>
    <w:rPr>
      <w:kern w:val="0"/>
      <w:sz w:val="24"/>
    </w:rPr>
  </w:style>
  <w:style w:type="character" w:customStyle="1" w:styleId="190">
    <w:name w:val="标书正文 Char Char"/>
    <w:link w:val="191"/>
    <w:qFormat/>
    <w:uiPriority w:val="0"/>
    <w:rPr>
      <w:kern w:val="2"/>
      <w:sz w:val="24"/>
      <w:szCs w:val="24"/>
    </w:rPr>
  </w:style>
  <w:style w:type="paragraph" w:customStyle="1" w:styleId="191">
    <w:name w:val="标书正文"/>
    <w:basedOn w:val="1"/>
    <w:link w:val="190"/>
    <w:qFormat/>
    <w:uiPriority w:val="0"/>
    <w:pPr>
      <w:spacing w:line="360" w:lineRule="auto"/>
      <w:ind w:firstLine="200" w:firstLineChars="200"/>
      <w:jc w:val="left"/>
    </w:pPr>
    <w:rPr>
      <w:sz w:val="24"/>
      <w:szCs w:val="24"/>
    </w:rPr>
  </w:style>
  <w:style w:type="character" w:customStyle="1" w:styleId="192">
    <w:name w:val="二级标题 Char Char"/>
    <w:link w:val="193"/>
    <w:qFormat/>
    <w:uiPriority w:val="0"/>
    <w:rPr>
      <w:rFonts w:ascii="宋体"/>
      <w:bCs/>
      <w:color w:val="000000"/>
      <w:sz w:val="24"/>
      <w:szCs w:val="24"/>
    </w:rPr>
  </w:style>
  <w:style w:type="paragraph" w:customStyle="1" w:styleId="193">
    <w:name w:val="二级标题"/>
    <w:basedOn w:val="1"/>
    <w:link w:val="192"/>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94">
    <w:name w:val="样式 标题 1b1章节标题章标题 1-*+h11st levelSection Headl1 + 四号 Char Char"/>
    <w:link w:val="195"/>
    <w:qFormat/>
    <w:uiPriority w:val="0"/>
    <w:rPr>
      <w:b/>
      <w:bCs/>
      <w:color w:val="000000"/>
      <w:kern w:val="44"/>
      <w:sz w:val="28"/>
      <w:szCs w:val="28"/>
    </w:rPr>
  </w:style>
  <w:style w:type="paragraph" w:customStyle="1" w:styleId="195">
    <w:name w:val="样式 标题 1b1章节标题章标题 1-*+h11st levelSection Headl1 + 四号"/>
    <w:basedOn w:val="196"/>
    <w:link w:val="194"/>
    <w:qFormat/>
    <w:uiPriority w:val="0"/>
    <w:pPr>
      <w:tabs>
        <w:tab w:val="left" w:leader="dot" w:pos="0"/>
        <w:tab w:val="left" w:pos="900"/>
      </w:tabs>
      <w:spacing w:before="0"/>
      <w:ind w:left="0" w:firstLine="0"/>
    </w:pPr>
    <w:rPr>
      <w:bCs/>
      <w:color w:val="000000"/>
      <w:szCs w:val="28"/>
    </w:rPr>
  </w:style>
  <w:style w:type="paragraph" w:customStyle="1" w:styleId="196">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97">
    <w:name w:val="YJB1 Char Char"/>
    <w:link w:val="198"/>
    <w:qFormat/>
    <w:uiPriority w:val="0"/>
    <w:rPr>
      <w:rFonts w:ascii="Arial" w:hAnsi="Arial"/>
      <w:kern w:val="2"/>
      <w:sz w:val="24"/>
      <w:szCs w:val="24"/>
    </w:rPr>
  </w:style>
  <w:style w:type="paragraph" w:customStyle="1" w:styleId="198">
    <w:name w:val="YJB1"/>
    <w:basedOn w:val="1"/>
    <w:link w:val="197"/>
    <w:qFormat/>
    <w:uiPriority w:val="0"/>
    <w:pPr>
      <w:spacing w:line="360" w:lineRule="auto"/>
      <w:ind w:left="450" w:leftChars="450"/>
    </w:pPr>
    <w:rPr>
      <w:rFonts w:ascii="Arial" w:hAnsi="Arial"/>
      <w:sz w:val="24"/>
      <w:szCs w:val="24"/>
    </w:rPr>
  </w:style>
  <w:style w:type="character" w:customStyle="1" w:styleId="199">
    <w:name w:val="YJB2 Char Char"/>
    <w:link w:val="200"/>
    <w:qFormat/>
    <w:uiPriority w:val="0"/>
    <w:rPr>
      <w:rFonts w:ascii="Arial" w:hAnsi="Arial"/>
      <w:kern w:val="2"/>
      <w:sz w:val="24"/>
      <w:szCs w:val="24"/>
    </w:rPr>
  </w:style>
  <w:style w:type="paragraph" w:customStyle="1" w:styleId="200">
    <w:name w:val="YJB2"/>
    <w:basedOn w:val="1"/>
    <w:link w:val="199"/>
    <w:qFormat/>
    <w:uiPriority w:val="0"/>
    <w:pPr>
      <w:spacing w:line="360" w:lineRule="auto"/>
      <w:ind w:left="450" w:hanging="450" w:hangingChars="450"/>
    </w:pPr>
    <w:rPr>
      <w:rFonts w:ascii="Arial" w:hAnsi="Arial"/>
      <w:sz w:val="24"/>
      <w:szCs w:val="24"/>
    </w:rPr>
  </w:style>
  <w:style w:type="character" w:customStyle="1" w:styleId="201">
    <w:name w:val="样式 标题 1章节标题 + 三号 Char Char"/>
    <w:link w:val="202"/>
    <w:qFormat/>
    <w:uiPriority w:val="0"/>
    <w:rPr>
      <w:b/>
      <w:bCs/>
      <w:kern w:val="44"/>
      <w:sz w:val="32"/>
      <w:szCs w:val="44"/>
    </w:rPr>
  </w:style>
  <w:style w:type="paragraph" w:customStyle="1" w:styleId="202">
    <w:name w:val="样式 标题 1章节标题 + 三号"/>
    <w:basedOn w:val="2"/>
    <w:link w:val="201"/>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203">
    <w:name w:val="正文文本缩进 22"/>
    <w:basedOn w:val="1"/>
    <w:qFormat/>
    <w:uiPriority w:val="0"/>
    <w:pPr>
      <w:ind w:firstLine="840"/>
    </w:pPr>
    <w:rPr>
      <w:kern w:val="0"/>
      <w:sz w:val="24"/>
      <w:lang w:val="zh-CN" w:eastAsia="zh-CN"/>
    </w:rPr>
  </w:style>
  <w:style w:type="paragraph" w:customStyle="1" w:styleId="204">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205">
    <w:name w:val="正文文本 3 字符"/>
    <w:basedOn w:val="61"/>
    <w:link w:val="24"/>
    <w:qFormat/>
    <w:uiPriority w:val="0"/>
    <w:rPr>
      <w:kern w:val="2"/>
      <w:sz w:val="16"/>
      <w:szCs w:val="16"/>
    </w:rPr>
  </w:style>
  <w:style w:type="character" w:customStyle="1" w:styleId="206">
    <w:name w:val="信息标题 字符"/>
    <w:basedOn w:val="61"/>
    <w:link w:val="50"/>
    <w:qFormat/>
    <w:uiPriority w:val="0"/>
    <w:rPr>
      <w:rFonts w:ascii="Arial" w:hAnsi="Arial"/>
      <w:spacing w:val="-5"/>
    </w:rPr>
  </w:style>
  <w:style w:type="paragraph" w:customStyle="1" w:styleId="207">
    <w:name w:val="日期2"/>
    <w:basedOn w:val="1"/>
    <w:next w:val="1"/>
    <w:qFormat/>
    <w:uiPriority w:val="0"/>
    <w:pPr>
      <w:adjustRightInd w:val="0"/>
      <w:spacing w:line="312" w:lineRule="atLeast"/>
      <w:textAlignment w:val="baseline"/>
    </w:pPr>
    <w:rPr>
      <w:kern w:val="0"/>
      <w:sz w:val="28"/>
      <w:szCs w:val="28"/>
    </w:rPr>
  </w:style>
  <w:style w:type="paragraph" w:customStyle="1" w:styleId="208">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209">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10">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2">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3">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4">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1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9">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20">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21">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2">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3">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4">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25">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26">
    <w:name w:val="Char21"/>
    <w:basedOn w:val="1"/>
    <w:qFormat/>
    <w:uiPriority w:val="0"/>
    <w:pPr>
      <w:adjustRightInd w:val="0"/>
      <w:spacing w:line="360" w:lineRule="atLeast"/>
    </w:pPr>
    <w:rPr>
      <w:szCs w:val="24"/>
    </w:rPr>
  </w:style>
  <w:style w:type="paragraph" w:customStyle="1" w:styleId="227">
    <w:name w:val="列出段落"/>
    <w:basedOn w:val="1"/>
    <w:qFormat/>
    <w:uiPriority w:val="0"/>
    <w:pPr>
      <w:ind w:firstLine="420" w:firstLineChars="200"/>
    </w:pPr>
    <w:rPr>
      <w:rFonts w:ascii="Calibri" w:hAnsi="Calibri"/>
      <w:szCs w:val="22"/>
    </w:rPr>
  </w:style>
  <w:style w:type="paragraph" w:customStyle="1" w:styleId="228">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29">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30">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1">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2">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3">
    <w:name w:val="Char Char Char Char Char Char Char1"/>
    <w:basedOn w:val="1"/>
    <w:qFormat/>
    <w:uiPriority w:val="0"/>
    <w:rPr>
      <w:szCs w:val="24"/>
    </w:rPr>
  </w:style>
  <w:style w:type="paragraph" w:customStyle="1" w:styleId="234">
    <w:name w:val="Char Char Char Char Char Char Char Char Char1"/>
    <w:basedOn w:val="1"/>
    <w:qFormat/>
    <w:uiPriority w:val="0"/>
    <w:rPr>
      <w:szCs w:val="24"/>
    </w:rPr>
  </w:style>
  <w:style w:type="paragraph" w:customStyle="1" w:styleId="235">
    <w:name w:val="纯文本3"/>
    <w:basedOn w:val="1"/>
    <w:qFormat/>
    <w:uiPriority w:val="0"/>
    <w:pPr>
      <w:adjustRightInd w:val="0"/>
      <w:textAlignment w:val="baseline"/>
    </w:pPr>
    <w:rPr>
      <w:rFonts w:ascii="宋体" w:hAnsi="Courier New"/>
    </w:rPr>
  </w:style>
  <w:style w:type="paragraph" w:customStyle="1" w:styleId="236">
    <w:name w:val="样式20"/>
    <w:basedOn w:val="53"/>
    <w:next w:val="53"/>
    <w:qFormat/>
    <w:uiPriority w:val="0"/>
    <w:pPr>
      <w:spacing w:line="360" w:lineRule="auto"/>
      <w:jc w:val="both"/>
      <w:textAlignment w:val="auto"/>
    </w:pPr>
  </w:style>
  <w:style w:type="paragraph" w:customStyle="1" w:styleId="237">
    <w:name w:val="Char Char Char Char Char Char Char Char Char Char Char Char Char1"/>
    <w:basedOn w:val="1"/>
    <w:qFormat/>
    <w:uiPriority w:val="0"/>
    <w:rPr>
      <w:szCs w:val="24"/>
    </w:rPr>
  </w:style>
  <w:style w:type="paragraph" w:customStyle="1" w:styleId="238">
    <w:name w:val="Char1 Char Char Char1"/>
    <w:basedOn w:val="1"/>
    <w:semiHidden/>
    <w:qFormat/>
    <w:uiPriority w:val="0"/>
    <w:pPr>
      <w:snapToGrid w:val="0"/>
      <w:spacing w:line="440" w:lineRule="atLeast"/>
    </w:pPr>
    <w:rPr>
      <w:rFonts w:ascii="宋体"/>
      <w:sz w:val="24"/>
      <w:szCs w:val="24"/>
    </w:rPr>
  </w:style>
  <w:style w:type="paragraph" w:customStyle="1" w:styleId="239">
    <w:name w:val="*正文_0"/>
    <w:basedOn w:val="1"/>
    <w:next w:val="1"/>
    <w:qFormat/>
    <w:uiPriority w:val="0"/>
    <w:pPr>
      <w:widowControl/>
      <w:ind w:firstLine="482"/>
    </w:pPr>
    <w:rPr>
      <w:rFonts w:ascii="微软雅黑" w:hAnsi="微软雅黑" w:eastAsia="微软雅黑"/>
      <w:kern w:val="0"/>
    </w:rPr>
  </w:style>
  <w:style w:type="character" w:customStyle="1" w:styleId="240">
    <w:name w:val="font21"/>
    <w:qFormat/>
    <w:uiPriority w:val="0"/>
    <w:rPr>
      <w:rFonts w:hint="eastAsia" w:ascii="仿宋_GB2312" w:eastAsia="仿宋_GB2312"/>
      <w:color w:val="000000"/>
      <w:sz w:val="24"/>
      <w:szCs w:val="24"/>
      <w:u w:val="none"/>
    </w:rPr>
  </w:style>
  <w:style w:type="character" w:customStyle="1" w:styleId="241">
    <w:name w:val="尾注文本 字符"/>
    <w:basedOn w:val="61"/>
    <w:link w:val="35"/>
    <w:qFormat/>
    <w:uiPriority w:val="0"/>
    <w:rPr>
      <w:rFonts w:ascii="宋体"/>
      <w:position w:val="-6"/>
      <w:sz w:val="24"/>
    </w:rPr>
  </w:style>
  <w:style w:type="character" w:customStyle="1" w:styleId="242">
    <w:name w:val="正文文本首行缩进 2 字符"/>
    <w:basedOn w:val="95"/>
    <w:link w:val="58"/>
    <w:qFormat/>
    <w:uiPriority w:val="0"/>
    <w:rPr>
      <w:kern w:val="2"/>
      <w:position w:val="-6"/>
      <w:sz w:val="24"/>
      <w:szCs w:val="24"/>
    </w:rPr>
  </w:style>
  <w:style w:type="paragraph" w:customStyle="1" w:styleId="243">
    <w:name w:val="标准正文"/>
    <w:basedOn w:val="1"/>
    <w:qFormat/>
    <w:uiPriority w:val="0"/>
    <w:pPr>
      <w:spacing w:beforeLines="20"/>
      <w:ind w:firstLine="200" w:firstLineChars="200"/>
    </w:pPr>
    <w:rPr>
      <w:kern w:val="0"/>
      <w:position w:val="-6"/>
      <w:sz w:val="24"/>
    </w:rPr>
  </w:style>
  <w:style w:type="character" w:customStyle="1" w:styleId="244">
    <w:name w:val="正文1 Char Char"/>
    <w:qFormat/>
    <w:uiPriority w:val="0"/>
    <w:rPr>
      <w:rFonts w:ascii="宋体" w:eastAsia="宋体"/>
      <w:sz w:val="24"/>
      <w:lang w:val="en-US" w:eastAsia="zh-CN" w:bidi="ar-SA"/>
    </w:rPr>
  </w:style>
  <w:style w:type="character" w:customStyle="1" w:styleId="245">
    <w:name w:val="页眉 Char Char Char Char Char"/>
    <w:qFormat/>
    <w:uiPriority w:val="0"/>
    <w:rPr>
      <w:rFonts w:ascii="宋体"/>
      <w:sz w:val="18"/>
    </w:rPr>
  </w:style>
  <w:style w:type="character" w:customStyle="1" w:styleId="246">
    <w:name w:val="技术规范书正文 Char Char"/>
    <w:qFormat/>
    <w:uiPriority w:val="0"/>
    <w:rPr>
      <w:kern w:val="2"/>
      <w:sz w:val="24"/>
      <w:szCs w:val="24"/>
      <w:lang w:val="en-US" w:eastAsia="zh-CN" w:bidi="ar-SA"/>
    </w:rPr>
  </w:style>
  <w:style w:type="paragraph" w:customStyle="1" w:styleId="247">
    <w:name w:val="•"/>
    <w:basedOn w:val="18"/>
    <w:qFormat/>
    <w:uiPriority w:val="0"/>
    <w:pPr>
      <w:tabs>
        <w:tab w:val="left" w:pos="1320"/>
      </w:tabs>
      <w:snapToGrid w:val="0"/>
      <w:spacing w:before="120" w:after="120"/>
      <w:ind w:left="1320" w:hanging="420"/>
    </w:pPr>
    <w:rPr>
      <w:rFonts w:ascii="Times New Roman" w:hAnsi="Times New Roman" w:eastAsia="宋体"/>
      <w:snapToGrid w:val="0"/>
      <w:kern w:val="0"/>
      <w:sz w:val="24"/>
    </w:rPr>
  </w:style>
  <w:style w:type="paragraph" w:customStyle="1" w:styleId="24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0">
    <w:name w:val="Plain Text1"/>
    <w:basedOn w:val="1"/>
    <w:qFormat/>
    <w:uiPriority w:val="0"/>
    <w:pPr>
      <w:overflowPunct w:val="0"/>
      <w:autoSpaceDE w:val="0"/>
      <w:autoSpaceDN w:val="0"/>
      <w:adjustRightInd w:val="0"/>
      <w:textAlignment w:val="baseline"/>
    </w:pPr>
    <w:rPr>
      <w:rFonts w:ascii="宋体"/>
      <w:kern w:val="0"/>
      <w:position w:val="-6"/>
      <w:sz w:val="28"/>
    </w:rPr>
  </w:style>
  <w:style w:type="paragraph" w:customStyle="1" w:styleId="25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position w:val="-6"/>
      <w:sz w:val="16"/>
      <w:szCs w:val="16"/>
    </w:rPr>
  </w:style>
  <w:style w:type="paragraph" w:customStyle="1" w:styleId="252">
    <w:name w:val="xl8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eastAsia="Arial Unicode MS"/>
      <w:color w:val="FF0000"/>
      <w:kern w:val="0"/>
      <w:position w:val="-6"/>
      <w:sz w:val="24"/>
    </w:rPr>
  </w:style>
  <w:style w:type="paragraph" w:customStyle="1" w:styleId="253">
    <w:name w:val="封面副标题"/>
    <w:basedOn w:val="131"/>
    <w:qFormat/>
    <w:uiPriority w:val="0"/>
    <w:pPr>
      <w:widowControl w:val="0"/>
      <w:jc w:val="center"/>
    </w:pPr>
    <w:rPr>
      <w:rFonts w:eastAsia="黑体"/>
      <w:sz w:val="50"/>
    </w:rPr>
  </w:style>
  <w:style w:type="paragraph" w:customStyle="1" w:styleId="25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position w:val="-6"/>
      <w:sz w:val="16"/>
      <w:szCs w:val="16"/>
    </w:rPr>
  </w:style>
  <w:style w:type="paragraph" w:customStyle="1" w:styleId="25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7">
    <w:name w:val="xl22"/>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宋体" w:eastAsia="黑体"/>
      <w:kern w:val="0"/>
      <w:position w:val="-6"/>
      <w:sz w:val="24"/>
      <w:szCs w:val="21"/>
    </w:rPr>
  </w:style>
  <w:style w:type="paragraph" w:customStyle="1" w:styleId="258">
    <w:name w:val="ccf"/>
    <w:basedOn w:val="1"/>
    <w:qFormat/>
    <w:uiPriority w:val="0"/>
    <w:pPr>
      <w:adjustRightInd w:val="0"/>
      <w:spacing w:line="312" w:lineRule="atLeast"/>
      <w:ind w:left="1191" w:hanging="1191"/>
      <w:textAlignment w:val="baseline"/>
    </w:pPr>
    <w:rPr>
      <w:kern w:val="0"/>
      <w:position w:val="-6"/>
      <w:sz w:val="26"/>
      <w:szCs w:val="26"/>
    </w:rPr>
  </w:style>
  <w:style w:type="paragraph" w:customStyle="1" w:styleId="259">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0">
    <w:name w:val="标题2"/>
    <w:basedOn w:val="3"/>
    <w:qFormat/>
    <w:uiPriority w:val="0"/>
    <w:pPr>
      <w:keepLines w:val="0"/>
      <w:numPr>
        <w:ilvl w:val="0"/>
        <w:numId w:val="0"/>
      </w:numPr>
      <w:tabs>
        <w:tab w:val="left" w:pos="425"/>
      </w:tabs>
      <w:spacing w:before="0" w:after="0" w:line="360" w:lineRule="auto"/>
      <w:jc w:val="both"/>
    </w:pPr>
    <w:rPr>
      <w:rFonts w:ascii="Times New Roman" w:hAnsi="Times New Roman" w:eastAsia="宋体"/>
      <w:b w:val="0"/>
      <w:position w:val="-6"/>
      <w:sz w:val="24"/>
    </w:rPr>
  </w:style>
  <w:style w:type="paragraph" w:customStyle="1" w:styleId="261">
    <w:name w:val="杠"/>
    <w:basedOn w:val="18"/>
    <w:qFormat/>
    <w:uiPriority w:val="0"/>
    <w:pPr>
      <w:numPr>
        <w:ilvl w:val="0"/>
        <w:numId w:val="5"/>
      </w:numPr>
      <w:tabs>
        <w:tab w:val="left" w:pos="425"/>
      </w:tabs>
      <w:spacing w:before="120" w:line="300" w:lineRule="auto"/>
      <w:ind w:left="1559" w:hanging="425"/>
    </w:pPr>
    <w:rPr>
      <w:rFonts w:ascii="Arial" w:hAnsi="Arial" w:eastAsia="宋体"/>
      <w:kern w:val="2"/>
      <w:sz w:val="24"/>
    </w:rPr>
  </w:style>
  <w:style w:type="paragraph" w:customStyle="1" w:styleId="262">
    <w:name w:val="正文文本缩进 23"/>
    <w:basedOn w:val="1"/>
    <w:qFormat/>
    <w:uiPriority w:val="0"/>
    <w:pPr>
      <w:keepNext/>
      <w:adjustRightInd w:val="0"/>
      <w:spacing w:line="360" w:lineRule="auto"/>
      <w:ind w:left="425" w:hanging="5"/>
      <w:textAlignment w:val="baseline"/>
    </w:pPr>
    <w:rPr>
      <w:kern w:val="0"/>
      <w:position w:val="-6"/>
      <w:sz w:val="24"/>
    </w:rPr>
  </w:style>
  <w:style w:type="paragraph" w:customStyle="1" w:styleId="263">
    <w:name w:val="表格1"/>
    <w:basedOn w:val="1"/>
    <w:qFormat/>
    <w:uiPriority w:val="0"/>
    <w:pPr>
      <w:tabs>
        <w:tab w:val="left" w:pos="0"/>
      </w:tabs>
      <w:adjustRightInd w:val="0"/>
      <w:snapToGrid w:val="0"/>
      <w:spacing w:line="360" w:lineRule="atLeast"/>
      <w:jc w:val="center"/>
      <w:textAlignment w:val="baseline"/>
    </w:pPr>
    <w:rPr>
      <w:kern w:val="0"/>
      <w:position w:val="-6"/>
      <w:sz w:val="24"/>
    </w:rPr>
  </w:style>
  <w:style w:type="paragraph" w:customStyle="1" w:styleId="264">
    <w:name w:val="font1"/>
    <w:basedOn w:val="1"/>
    <w:qFormat/>
    <w:uiPriority w:val="0"/>
    <w:pPr>
      <w:widowControl/>
      <w:spacing w:before="100" w:beforeAutospacing="1" w:after="100" w:afterAutospacing="1"/>
      <w:jc w:val="left"/>
    </w:pPr>
    <w:rPr>
      <w:rFonts w:hint="eastAsia" w:ascii="宋体" w:hAnsi="宋体" w:cs="Arial Unicode MS"/>
      <w:kern w:val="0"/>
      <w:position w:val="-6"/>
      <w:sz w:val="24"/>
    </w:rPr>
  </w:style>
  <w:style w:type="paragraph" w:customStyle="1" w:styleId="26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6">
    <w:name w:val="日期3"/>
    <w:basedOn w:val="1"/>
    <w:next w:val="1"/>
    <w:qFormat/>
    <w:uiPriority w:val="0"/>
    <w:pPr>
      <w:adjustRightInd w:val="0"/>
    </w:pPr>
    <w:rPr>
      <w:kern w:val="0"/>
      <w:position w:val="-6"/>
      <w:sz w:val="28"/>
    </w:rPr>
  </w:style>
  <w:style w:type="paragraph" w:customStyle="1" w:styleId="26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68">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69">
    <w:name w:val="(1)"/>
    <w:basedOn w:val="1"/>
    <w:qFormat/>
    <w:uiPriority w:val="0"/>
    <w:pPr>
      <w:tabs>
        <w:tab w:val="left" w:pos="573"/>
      </w:tabs>
      <w:adjustRightInd w:val="0"/>
      <w:snapToGrid w:val="0"/>
      <w:spacing w:before="80" w:after="100" w:line="240" w:lineRule="atLeast"/>
      <w:textAlignment w:val="baseline"/>
    </w:pPr>
    <w:rPr>
      <w:rFonts w:ascii="Arial" w:hAnsi="Arial"/>
      <w:kern w:val="44"/>
      <w:position w:val="-6"/>
      <w:sz w:val="24"/>
    </w:rPr>
  </w:style>
  <w:style w:type="paragraph" w:customStyle="1" w:styleId="27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71">
    <w:name w:val="xl24"/>
    <w:basedOn w:val="1"/>
    <w:qFormat/>
    <w:uiPriority w:val="0"/>
    <w:pPr>
      <w:widowControl/>
      <w:spacing w:before="100" w:beforeAutospacing="1" w:after="100" w:afterAutospacing="1"/>
      <w:jc w:val="center"/>
    </w:pPr>
    <w:rPr>
      <w:rFonts w:ascii="宋体" w:hAnsi="宋体"/>
      <w:kern w:val="0"/>
      <w:position w:val="-6"/>
      <w:sz w:val="24"/>
    </w:rPr>
  </w:style>
  <w:style w:type="paragraph" w:customStyle="1" w:styleId="272">
    <w:name w:val="font8"/>
    <w:basedOn w:val="1"/>
    <w:qFormat/>
    <w:uiPriority w:val="0"/>
    <w:pPr>
      <w:widowControl/>
      <w:spacing w:before="100" w:beforeAutospacing="1" w:after="100" w:afterAutospacing="1"/>
      <w:jc w:val="left"/>
    </w:pPr>
    <w:rPr>
      <w:rFonts w:eastAsia="Arial Unicode MS"/>
      <w:kern w:val="0"/>
      <w:position w:val="-6"/>
      <w:sz w:val="16"/>
      <w:szCs w:val="16"/>
    </w:rPr>
  </w:style>
  <w:style w:type="paragraph" w:customStyle="1" w:styleId="273">
    <w:name w:val="技术规范书正文缩进"/>
    <w:basedOn w:val="131"/>
    <w:qFormat/>
    <w:uiPriority w:val="0"/>
    <w:pPr>
      <w:widowControl w:val="0"/>
      <w:ind w:firstLine="480" w:firstLineChars="200"/>
    </w:pPr>
    <w:rPr>
      <w:rFonts w:ascii="Arial" w:hAnsi="Arial" w:cs="Arial"/>
      <w:bCs/>
    </w:rPr>
  </w:style>
  <w:style w:type="paragraph" w:customStyle="1" w:styleId="274">
    <w:name w:val="ST20-3"/>
    <w:basedOn w:val="1"/>
    <w:qFormat/>
    <w:uiPriority w:val="0"/>
    <w:pPr>
      <w:tabs>
        <w:tab w:val="left" w:pos="680"/>
      </w:tabs>
      <w:spacing w:after="160" w:line="300" w:lineRule="auto"/>
      <w:ind w:left="794" w:hanging="170"/>
    </w:pPr>
    <w:rPr>
      <w:rFonts w:ascii="Arial" w:hAnsi="Arial"/>
      <w:kern w:val="0"/>
      <w:position w:val="-6"/>
      <w:sz w:val="24"/>
    </w:rPr>
  </w:style>
  <w:style w:type="paragraph" w:customStyle="1" w:styleId="275">
    <w:name w:val="正文3"/>
    <w:qFormat/>
    <w:uiPriority w:val="0"/>
    <w:pPr>
      <w:numPr>
        <w:ilvl w:val="0"/>
        <w:numId w:val="6"/>
      </w:numPr>
      <w:tabs>
        <w:tab w:val="left" w:pos="1834"/>
      </w:tabs>
      <w:spacing w:line="360" w:lineRule="auto"/>
      <w:ind w:left="1758" w:hanging="284"/>
    </w:pPr>
    <w:rPr>
      <w:rFonts w:ascii="Times New Roman" w:hAnsi="Times New Roman" w:eastAsia="宋体" w:cs="Times New Roman"/>
      <w:sz w:val="24"/>
      <w:lang w:val="en-US" w:eastAsia="zh-CN" w:bidi="ar-SA"/>
    </w:rPr>
  </w:style>
  <w:style w:type="paragraph" w:customStyle="1" w:styleId="27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77">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eastAsia="Arial Unicode MS"/>
      <w:kern w:val="0"/>
      <w:position w:val="-6"/>
      <w:sz w:val="16"/>
      <w:szCs w:val="16"/>
    </w:rPr>
  </w:style>
  <w:style w:type="paragraph" w:customStyle="1" w:styleId="278">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79">
    <w:name w:val="样式 标题3 + 行距: 1.5 倍行距"/>
    <w:basedOn w:val="280"/>
    <w:qFormat/>
    <w:uiPriority w:val="0"/>
    <w:pPr>
      <w:keepNext w:val="0"/>
      <w:numPr>
        <w:numId w:val="0"/>
      </w:numPr>
      <w:tabs>
        <w:tab w:val="left" w:pos="495"/>
        <w:tab w:val="left" w:pos="720"/>
        <w:tab w:val="left" w:pos="851"/>
      </w:tabs>
    </w:pPr>
    <w:rPr>
      <w:rFonts w:ascii="宋体" w:hAnsi="宋体"/>
      <w:b/>
      <w:kern w:val="2"/>
    </w:rPr>
  </w:style>
  <w:style w:type="paragraph" w:customStyle="1" w:styleId="280">
    <w:name w:val="标题3"/>
    <w:basedOn w:val="5"/>
    <w:qFormat/>
    <w:uiPriority w:val="0"/>
    <w:pPr>
      <w:keepLines w:val="0"/>
      <w:numPr>
        <w:numId w:val="4"/>
      </w:numPr>
      <w:tabs>
        <w:tab w:val="left" w:pos="495"/>
        <w:tab w:val="left" w:pos="851"/>
      </w:tabs>
      <w:spacing w:before="0" w:after="0" w:line="360" w:lineRule="auto"/>
      <w:jc w:val="both"/>
    </w:pPr>
    <w:rPr>
      <w:b w:val="0"/>
      <w:position w:val="-6"/>
      <w:sz w:val="24"/>
    </w:rPr>
  </w:style>
  <w:style w:type="paragraph" w:customStyle="1" w:styleId="281">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eastAsia="Arial Unicode MS"/>
      <w:kern w:val="0"/>
      <w:position w:val="-6"/>
      <w:sz w:val="16"/>
      <w:szCs w:val="16"/>
    </w:rPr>
  </w:style>
  <w:style w:type="paragraph" w:customStyle="1" w:styleId="28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3">
    <w:name w:val="标准"/>
    <w:basedOn w:val="1"/>
    <w:qFormat/>
    <w:uiPriority w:val="0"/>
    <w:pPr>
      <w:autoSpaceDE w:val="0"/>
      <w:autoSpaceDN w:val="0"/>
      <w:adjustRightInd w:val="0"/>
      <w:spacing w:line="312" w:lineRule="atLeast"/>
      <w:ind w:firstLine="600"/>
      <w:jc w:val="center"/>
      <w:textAlignment w:val="baseline"/>
    </w:pPr>
    <w:rPr>
      <w:rFonts w:ascii="黑体" w:hAnsi="Tms Rmn" w:eastAsia="黑体"/>
      <w:kern w:val="0"/>
      <w:position w:val="-6"/>
      <w:sz w:val="28"/>
    </w:rPr>
  </w:style>
  <w:style w:type="paragraph" w:customStyle="1" w:styleId="28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5">
    <w:name w:val="Char2"/>
    <w:basedOn w:val="1"/>
    <w:qFormat/>
    <w:uiPriority w:val="0"/>
    <w:rPr>
      <w:kern w:val="0"/>
      <w:position w:val="-6"/>
      <w:sz w:val="24"/>
    </w:rPr>
  </w:style>
  <w:style w:type="paragraph" w:customStyle="1" w:styleId="28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position w:val="-6"/>
      <w:sz w:val="24"/>
    </w:rPr>
  </w:style>
  <w:style w:type="paragraph" w:customStyle="1" w:styleId="288">
    <w:name w:val="招标编号"/>
    <w:qFormat/>
    <w:uiPriority w:val="0"/>
    <w:pPr>
      <w:jc w:val="right"/>
    </w:pPr>
    <w:rPr>
      <w:rFonts w:ascii="Times New Roman" w:hAnsi="Times New Roman" w:eastAsia="宋体" w:cs="Times New Roman"/>
      <w:sz w:val="28"/>
      <w:lang w:val="en-US" w:eastAsia="zh-CN" w:bidi="ar-SA"/>
    </w:rPr>
  </w:style>
  <w:style w:type="paragraph" w:customStyle="1" w:styleId="28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90">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1">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92">
    <w:name w:val="ST20-2"/>
    <w:basedOn w:val="1"/>
    <w:qFormat/>
    <w:uiPriority w:val="0"/>
    <w:pPr>
      <w:tabs>
        <w:tab w:val="left" w:pos="567"/>
      </w:tabs>
      <w:adjustRightInd w:val="0"/>
      <w:spacing w:after="120" w:line="300" w:lineRule="auto"/>
      <w:ind w:left="1247" w:hanging="680"/>
    </w:pPr>
    <w:rPr>
      <w:rFonts w:ascii="宋体" w:hAnsi="Arial"/>
      <w:kern w:val="0"/>
      <w:position w:val="-6"/>
      <w:sz w:val="24"/>
    </w:rPr>
  </w:style>
  <w:style w:type="paragraph" w:customStyle="1" w:styleId="293">
    <w:name w:val="Char Char Char Char Char Char Char2"/>
    <w:basedOn w:val="1"/>
    <w:qFormat/>
    <w:uiPriority w:val="0"/>
    <w:rPr>
      <w:kern w:val="0"/>
      <w:position w:val="-6"/>
      <w:sz w:val="24"/>
    </w:rPr>
  </w:style>
  <w:style w:type="paragraph" w:customStyle="1" w:styleId="294">
    <w:name w:val="Betreff"/>
    <w:basedOn w:val="1"/>
    <w:qFormat/>
    <w:uiPriority w:val="0"/>
    <w:pPr>
      <w:widowControl/>
      <w:tabs>
        <w:tab w:val="left" w:pos="5670"/>
        <w:tab w:val="left" w:pos="7938"/>
      </w:tabs>
      <w:spacing w:before="1200"/>
      <w:jc w:val="left"/>
    </w:pPr>
    <w:rPr>
      <w:rFonts w:ascii="Arial" w:hAnsi="Arial"/>
      <w:kern w:val="0"/>
      <w:position w:val="-6"/>
      <w:sz w:val="22"/>
      <w:lang w:val="de-DE"/>
    </w:rPr>
  </w:style>
  <w:style w:type="paragraph" w:customStyle="1" w:styleId="29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6">
    <w:name w:val="ST20_1"/>
    <w:basedOn w:val="1"/>
    <w:next w:val="1"/>
    <w:qFormat/>
    <w:uiPriority w:val="0"/>
    <w:pPr>
      <w:keepNext/>
      <w:keepLines/>
      <w:numPr>
        <w:ilvl w:val="0"/>
        <w:numId w:val="7"/>
      </w:numPr>
      <w:tabs>
        <w:tab w:val="left" w:pos="907"/>
        <w:tab w:val="right" w:leader="dot" w:pos="8400"/>
      </w:tabs>
      <w:spacing w:before="120" w:after="120" w:line="300" w:lineRule="auto"/>
      <w:ind w:left="907" w:hanging="510"/>
      <w:jc w:val="left"/>
    </w:pPr>
    <w:rPr>
      <w:rFonts w:ascii="Arial" w:hAnsi="Arial"/>
      <w:kern w:val="0"/>
      <w:position w:val="-6"/>
      <w:sz w:val="24"/>
    </w:rPr>
  </w:style>
  <w:style w:type="paragraph" w:customStyle="1" w:styleId="297">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8">
    <w:name w:val="xl2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position w:val="-6"/>
      <w:sz w:val="24"/>
      <w:szCs w:val="21"/>
    </w:rPr>
  </w:style>
  <w:style w:type="paragraph" w:customStyle="1" w:styleId="299">
    <w:name w:val="正文4"/>
    <w:qFormat/>
    <w:uiPriority w:val="0"/>
    <w:pPr>
      <w:widowControl w:val="0"/>
      <w:autoSpaceDE w:val="0"/>
      <w:autoSpaceDN w:val="0"/>
      <w:adjustRightInd w:val="0"/>
      <w:spacing w:line="360" w:lineRule="atLeast"/>
      <w:ind w:right="104"/>
      <w:jc w:val="both"/>
      <w:textAlignment w:val="bottom"/>
    </w:pPr>
    <w:rPr>
      <w:rFonts w:ascii="Times New Roman" w:hAnsi="Times New Roman" w:eastAsia="宋体" w:cs="Times New Roman"/>
      <w:position w:val="-6"/>
      <w:sz w:val="24"/>
      <w:lang w:val="en-US" w:eastAsia="zh-CN" w:bidi="ar-SA"/>
    </w:rPr>
  </w:style>
  <w:style w:type="paragraph" w:customStyle="1" w:styleId="300">
    <w:name w:val="Table Text"/>
    <w:basedOn w:val="1"/>
    <w:semiHidden/>
    <w:qFormat/>
    <w:uiPriority w:val="0"/>
    <w:rPr>
      <w:rFonts w:ascii="宋体" w:hAnsi="宋体" w:cs="宋体"/>
      <w:kern w:val="0"/>
      <w:position w:val="-6"/>
      <w:sz w:val="24"/>
      <w:szCs w:val="24"/>
      <w:lang w:eastAsia="en-US"/>
    </w:rPr>
  </w:style>
  <w:style w:type="table" w:customStyle="1" w:styleId="301">
    <w:name w:val="Table Normal"/>
    <w:unhideWhenUsed/>
    <w:qFormat/>
    <w:uiPriority w:val="0"/>
    <w:tblPr>
      <w:tblCellMar>
        <w:top w:w="0" w:type="dxa"/>
        <w:left w:w="0" w:type="dxa"/>
        <w:bottom w:w="0" w:type="dxa"/>
        <w:right w:w="0" w:type="dxa"/>
      </w:tblCellMar>
    </w:tblPr>
  </w:style>
  <w:style w:type="character" w:customStyle="1" w:styleId="302">
    <w:name w:val="页码1"/>
    <w:qFormat/>
    <w:uiPriority w:val="0"/>
  </w:style>
  <w:style w:type="paragraph" w:customStyle="1" w:styleId="303">
    <w:name w:val="_Style 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4">
    <w:name w:val="表格文字2"/>
    <w:basedOn w:val="1"/>
    <w:qFormat/>
    <w:uiPriority w:val="0"/>
    <w:pPr>
      <w:jc w:val="left"/>
    </w:pPr>
    <w:rPr>
      <w:bCs/>
      <w:spacing w:val="10"/>
      <w:kern w:val="0"/>
      <w:szCs w:val="24"/>
    </w:rPr>
  </w:style>
  <w:style w:type="character" w:customStyle="1" w:styleId="305">
    <w:name w:val="font41"/>
    <w:qFormat/>
    <w:uiPriority w:val="0"/>
    <w:rPr>
      <w:rFonts w:hint="eastAsia" w:ascii="宋体" w:hAnsi="宋体" w:eastAsia="宋体" w:cs="宋体"/>
      <w:color w:val="000000"/>
      <w:sz w:val="21"/>
      <w:szCs w:val="21"/>
      <w:u w:val="none"/>
    </w:rPr>
  </w:style>
  <w:style w:type="paragraph" w:customStyle="1" w:styleId="306">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07">
    <w:name w:val="Table Paragraph"/>
    <w:basedOn w:val="1"/>
    <w:qFormat/>
    <w:uiPriority w:val="1"/>
    <w:rPr>
      <w:rFonts w:ascii="宋体" w:hAnsi="宋体" w:eastAsia="宋体" w:cs="宋体"/>
      <w:lang w:val="zh-CN" w:eastAsia="zh-CN" w:bidi="zh-CN"/>
    </w:rPr>
  </w:style>
  <w:style w:type="paragraph" w:customStyle="1" w:styleId="308">
    <w:name w:val="WPSOffice手动目录 2"/>
    <w:qFormat/>
    <w:uiPriority w:val="0"/>
    <w:pPr>
      <w:ind w:leftChars="200"/>
    </w:pPr>
    <w:rPr>
      <w:rFonts w:ascii="Calibri" w:hAnsi="Calibri" w:eastAsia="宋体" w:cs="Times New Roman"/>
      <w:sz w:val="20"/>
      <w:szCs w:val="20"/>
    </w:rPr>
  </w:style>
  <w:style w:type="paragraph" w:customStyle="1" w:styleId="309">
    <w:name w:val="1234"/>
    <w:basedOn w:val="1"/>
    <w:qFormat/>
    <w:uiPriority w:val="0"/>
    <w:pPr>
      <w:spacing w:line="360" w:lineRule="exact"/>
      <w:ind w:firstLine="200" w:firstLineChars="200"/>
    </w:pPr>
    <w:rPr>
      <w:rFonts w:ascii="宋体" w:hAnsi="新宋体"/>
      <w:bCs/>
    </w:rPr>
  </w:style>
  <w:style w:type="paragraph" w:customStyle="1" w:styleId="310">
    <w:name w:val="msonospacing"/>
    <w:basedOn w:val="1"/>
    <w:qFormat/>
    <w:uiPriority w:val="0"/>
    <w:rPr>
      <w:rFonts w:ascii="Times New Roman" w:hAnsi="Times New Roman"/>
    </w:rPr>
  </w:style>
  <w:style w:type="paragraph" w:customStyle="1" w:styleId="311">
    <w:name w:val="02 缩进"/>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0F205-E6C5-4BF7-AF5E-2578E84F4F02}">
  <ds:schemaRefs/>
</ds:datastoreItem>
</file>

<file path=docProps/app.xml><?xml version="1.0" encoding="utf-8"?>
<Properties xmlns="http://schemas.openxmlformats.org/officeDocument/2006/extended-properties" xmlns:vt="http://schemas.openxmlformats.org/officeDocument/2006/docPropsVTypes">
  <Template>Normal</Template>
  <Pages>47</Pages>
  <Words>7334</Words>
  <Characters>7824</Characters>
  <Lines>97</Lines>
  <Paragraphs>27</Paragraphs>
  <TotalTime>17</TotalTime>
  <ScaleCrop>false</ScaleCrop>
  <LinksUpToDate>false</LinksUpToDate>
  <CharactersWithSpaces>8696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2024-11-22T00:42:00Z</cp:lastPrinted>
  <dcterms:modified xsi:type="dcterms:W3CDTF">2026-04-24T02:21:11Z</dcterms:modified>
  <dc:title>一、标书制作要求：</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eyJoZGlkIjoiZTU2MWU0ZGY4ZWMwNTY1NTViMDg2NmZiMzk1NzVjODkiLCJ1c2VySWQiOiI3NjQ1MzQ5NTkifQ==</vt:lpwstr>
  </property>
  <property fmtid="{D5CDD505-2E9C-101B-9397-08002B2CF9AE}" pid="4" name="ICV">
    <vt:lpwstr>845D1CFFC95747C2B9399FE6602AD881_13</vt:lpwstr>
  </property>
</Properties>
</file>